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5B02" w14:textId="7C6AD2F9" w:rsidR="00D113DE" w:rsidRPr="008D38E7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225 </w:t>
      </w:r>
      <w:proofErr w:type="spellStart"/>
      <w:r w:rsidR="001611DD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Reinekers</w:t>
      </w:r>
      <w:proofErr w:type="spellEnd"/>
      <w:r w:rsidR="001611DD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Ln., Suite 660</w:t>
      </w:r>
    </w:p>
    <w:p w14:paraId="2F2F66C5" w14:textId="2F897351" w:rsidR="00D113DE" w:rsidRPr="008D38E7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</w:pPr>
      <w:r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A</w:t>
      </w:r>
      <w:r w:rsidR="008D3DD6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lexandria</w:t>
      </w:r>
      <w:r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, VA 22</w:t>
      </w:r>
      <w:r w:rsidR="008D3DD6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31</w:t>
      </w:r>
      <w:r w:rsidR="001611DD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>4</w:t>
      </w:r>
      <w:r w:rsidR="00E25664" w:rsidRPr="008D38E7">
        <w:rPr>
          <w:rFonts w:asciiTheme="minorHAnsi" w:hAnsiTheme="minorHAnsi"/>
          <w:b w:val="0"/>
          <w:color w:val="2E2763"/>
          <w:spacing w:val="-2"/>
          <w:sz w:val="24"/>
          <w:szCs w:val="24"/>
          <w:lang w:val="fr-FR"/>
        </w:rPr>
        <w:t xml:space="preserve"> </w:t>
      </w:r>
    </w:p>
    <w:p w14:paraId="7076D954" w14:textId="0C70B134" w:rsidR="00D113DE" w:rsidRPr="00194C9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</w:pPr>
      <w:r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Tel: </w:t>
      </w:r>
      <w:r w:rsidR="007E7F6E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(</w:t>
      </w:r>
      <w:r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202</w:t>
      </w:r>
      <w:r w:rsidR="007E7F6E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) </w:t>
      </w:r>
      <w:r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467-5081</w:t>
      </w:r>
      <w:r w:rsidR="00335ABF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 </w:t>
      </w:r>
    </w:p>
    <w:p w14:paraId="0B4E2ACE" w14:textId="1A7C5757" w:rsidR="00053BF3" w:rsidRPr="00194C9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  <w:lang w:val="es-419"/>
        </w:rPr>
      </w:pPr>
      <w:r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Fax: </w:t>
      </w:r>
      <w:r w:rsidR="007E7F6E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(</w:t>
      </w:r>
      <w:r w:rsidR="00612E4E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703</w:t>
      </w:r>
      <w:r w:rsidR="007E7F6E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 xml:space="preserve">) </w:t>
      </w:r>
      <w:r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46</w:t>
      </w:r>
      <w:r w:rsidR="00612E4E"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5</w:t>
      </w:r>
      <w:r w:rsidRPr="00194C9E">
        <w:rPr>
          <w:rFonts w:asciiTheme="minorHAnsi" w:hAnsiTheme="minorHAnsi"/>
          <w:b w:val="0"/>
          <w:color w:val="2E2763"/>
          <w:spacing w:val="-2"/>
          <w:sz w:val="24"/>
          <w:szCs w:val="24"/>
          <w:lang w:val="es-419"/>
        </w:rPr>
        <w:t>-5085</w:t>
      </w:r>
    </w:p>
    <w:p w14:paraId="50CCC853" w14:textId="49BB5A15" w:rsidR="00053BF3" w:rsidRPr="00194C9E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  <w:lang w:val="es-419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du="http://schemas.microsoft.com/office/word/2023/wordml/word16du">
            <w:pict>
              <v:line w14:anchorId="01F5A70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UvcOgBAAAYBAAADgAAAGRycy9lMm9Eb2MueG1srFNNj9MwEL0j8R8s32k+FrqrqOkeuiwXBBUL&#10;3F3HTiz5S2PTpP+esZOGBcQBxMWyPfPezHse7+4no8lZQFDOtrTalJQIy12nbN/SL58fX91REiKz&#10;HdPOipZeRKD3+5cvdqNvRO0GpzsBBElsaEbf0iFG3xRF4IMwLGycFxaD0oFhEY/QFx2wEdmNLuqy&#10;3Bajg86D4yIEvH2Yg3Sf+aUUPH6UMohIdEuxt5hXyOsprcV+x5oemB8UX9pg/9CFYcpi0ZXqgUVG&#10;voH6jcooDi44GTfcmcJJqbjIGlBNVf6i5mlgXmQtaE7wq03h/9HyD+cjENW19IYSyww+0VMEpvoh&#10;koOzFg10QG6ST6MPDaYf7BGWU/BHSKInCYZIrfxXHIFsAwojU3b5srospkg4Xm7fVK/rW5wLfo0V&#10;M0Wi8hDiO+EMSZuWamWTAaxh5/chYllMvaaka23JiK3fVWWZ04LTqntUWqdggP500EDODB+/flvf&#10;brMOpHiWhidtkTepm/XkXbxoMRf4JCT6g33PyvJkipWWcS5srJI/mQmzE0xiCytwaS2N9J+AS36C&#10;ijy1fwNeEbmys3EFG2UdzMb8XD1O15blnH91YNadLDi57pJfOluD45cVLl8lzffzc4b/+ND77wAA&#10;AP//AwBQSwMEFAAGAAgAAAAhAHURH2zdAAAACQEAAA8AAABkcnMvZG93bnJldi54bWxMj81OwzAQ&#10;hO9IvIO1SNxaG1fiJ8SpEFLVI7QFFW7beEki4nUUu0n69rjiAMedGc1+ky8n14qB+tB4NnAzVyCI&#10;S28brgy87VazexAhIltsPZOBEwVYFpcXOWbWj7yhYRsrkUo4ZGigjrHLpAxlTQ7D3HfEyfvyvcOY&#10;zr6StscxlbtWaqVupcOG04caO3quqfzeHp2B1Xqv1+3DJ4YTDfuNehn9+8erMddX09MjiEhT/AvD&#10;GT+hQ5GYDv7INojWwEzfpaQBvUgLzr7SCw3i8KvIIpf/FxQ/AAAA//8DAFBLAQItABQABgAIAAAA&#10;IQDkmcPA+wAAAOEBAAATAAAAAAAAAAAAAAAAAAAAAABbQ29udGVudF9UeXBlc10ueG1sUEsBAi0A&#10;FAAGAAgAAAAhACOyauHXAAAAlAEAAAsAAAAAAAAAAAAAAAAALAEAAF9yZWxzLy5yZWxzUEsBAi0A&#10;FAAGAAgAAAAhAAF1L3DoAQAAGAQAAA4AAAAAAAAAAAAAAAAALAIAAGRycy9lMm9Eb2MueG1sUEsB&#10;Ai0AFAAGAAgAAAAhAHURH2zdAAAACQEAAA8AAAAAAAAAAAAAAAAAQAQAAGRycy9kb3ducmV2Lnht&#10;bFBLBQYAAAAABAAEAPMAAABKBQAAAAA=&#10;" strokecolor="#2e2763" strokeweight="3pt"/>
            </w:pict>
          </mc:Fallback>
        </mc:AlternateContent>
      </w:r>
      <w:r w:rsidR="00276DE9" w:rsidRPr="00194C9E">
        <w:rPr>
          <w:rFonts w:ascii="Arial Narrow" w:hAnsi="Arial Narrow"/>
          <w:b w:val="0"/>
          <w:sz w:val="22"/>
          <w:szCs w:val="22"/>
          <w:lang w:val="es-419"/>
        </w:rPr>
        <w:softHyphen/>
      </w:r>
    </w:p>
    <w:p w14:paraId="3BC7CBAD" w14:textId="1A692125" w:rsidR="00553663" w:rsidRPr="008D38E7" w:rsidRDefault="00D113DE" w:rsidP="00553663">
      <w:pPr>
        <w:pStyle w:val="Heading1"/>
        <w:spacing w:before="0" w:line="276" w:lineRule="auto"/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</w:pPr>
      <w:r w:rsidRPr="008D38E7">
        <w:rPr>
          <w:rFonts w:asciiTheme="minorHAnsi" w:hAnsiTheme="minorHAnsi" w:cs="Tahoma"/>
          <w:b w:val="0"/>
          <w:sz w:val="44"/>
          <w:szCs w:val="44"/>
          <w:lang w:val="es-419"/>
        </w:rPr>
        <w:softHyphen/>
      </w:r>
      <w:r w:rsidR="008D38E7" w:rsidRPr="008D38E7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 xml:space="preserve">Ley de </w:t>
      </w:r>
      <w:r w:rsidR="00194C9E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>Beneficio</w:t>
      </w:r>
      <w:r w:rsidR="00FA2198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>s</w:t>
      </w:r>
      <w:r w:rsidR="00194C9E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 xml:space="preserve"> </w:t>
      </w:r>
      <w:r w:rsidR="00FA2198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>Odontológicos</w:t>
      </w:r>
      <w:r w:rsidR="008D38E7" w:rsidRPr="008D38E7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>, de Visión y  Audición de</w:t>
      </w:r>
      <w:r w:rsidR="008D38E7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 xml:space="preserve"> </w:t>
      </w:r>
      <w:r w:rsidR="00553663" w:rsidRPr="008D38E7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 xml:space="preserve">Medicare </w:t>
      </w:r>
      <w:r w:rsidR="008D38E7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 xml:space="preserve">y </w:t>
      </w:r>
      <w:r w:rsidR="00553663" w:rsidRPr="008D38E7">
        <w:rPr>
          <w:rFonts w:ascii="Arial" w:eastAsia="Times New Roman" w:hAnsi="Arial" w:cs="Arial"/>
          <w:bCs/>
          <w:color w:val="auto"/>
          <w:kern w:val="2"/>
          <w:sz w:val="44"/>
          <w:szCs w:val="44"/>
          <w:lang w:val="es-419"/>
          <w14:ligatures w14:val="standardContextual"/>
        </w:rPr>
        <w:t xml:space="preserve">Medicaid </w:t>
      </w:r>
    </w:p>
    <w:p w14:paraId="7ADD731A" w14:textId="77777777" w:rsidR="00553663" w:rsidRPr="008D38E7" w:rsidRDefault="00553663" w:rsidP="00553663">
      <w:pPr>
        <w:keepNext/>
        <w:keepLines/>
        <w:spacing w:line="276" w:lineRule="auto"/>
        <w:outlineLvl w:val="1"/>
        <w:rPr>
          <w:rFonts w:cs="Arial"/>
          <w:bCs/>
          <w:kern w:val="2"/>
          <w:sz w:val="40"/>
          <w:szCs w:val="40"/>
          <w:lang w:val="es-419"/>
          <w14:ligatures w14:val="standardContextual"/>
        </w:rPr>
      </w:pPr>
    </w:p>
    <w:p w14:paraId="1C95A2AF" w14:textId="3AAB3572" w:rsidR="00553663" w:rsidRPr="00194C9E" w:rsidRDefault="00194C9E" w:rsidP="00553663">
      <w:pPr>
        <w:keepNext/>
        <w:keepLines/>
        <w:spacing w:line="276" w:lineRule="auto"/>
        <w:outlineLvl w:val="1"/>
        <w:rPr>
          <w:rFonts w:cs="Arial"/>
          <w:bCs/>
          <w:kern w:val="2"/>
          <w:sz w:val="40"/>
          <w:szCs w:val="40"/>
          <w:lang w:val="es-419"/>
          <w14:ligatures w14:val="standardContextual"/>
        </w:rPr>
      </w:pPr>
      <w:r>
        <w:rPr>
          <w:rFonts w:cs="Arial"/>
          <w:bCs/>
          <w:kern w:val="2"/>
          <w:sz w:val="40"/>
          <w:szCs w:val="40"/>
          <w:lang w:val="es-419"/>
          <w14:ligatures w14:val="standardContextual"/>
        </w:rPr>
        <w:t>Contexto</w:t>
      </w:r>
    </w:p>
    <w:p w14:paraId="338EDF54" w14:textId="77777777" w:rsidR="00553663" w:rsidRPr="00194C9E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</w:p>
    <w:p w14:paraId="0B1A657F" w14:textId="4CEE7AAE" w:rsidR="00553663" w:rsidRPr="009573B3" w:rsidRDefault="00CA78BF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  <w:r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En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2008, </w:t>
      </w:r>
      <w:r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los Centros de Servicio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s</w:t>
      </w:r>
      <w:r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de Medicare y 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Medicaid  (CMS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, por sus siglas en inglés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) adopt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aron regulaciones que proh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í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ben la co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ertura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por parte de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Medicare 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y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Medicaid 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de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anteojos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y cualquier dispositivo que utilice lentes. 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La norma conocida como 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Exclusi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ó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n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de anteojos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, 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también prohibió la co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ertur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a</w:t>
      </w:r>
      <w:r w:rsidR="00A27A62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de dispositivos diseñados para 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ayudar a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las 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personas con baja visión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, inclu</w:t>
      </w:r>
      <w:r w:rsid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idas las lupas de mano, las lupas </w:t>
      </w:r>
      <w:r w:rsidR="00191AF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electrónicas y otros dispositivos necesarios para permitir 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="00191AF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que 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="00191AF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estas personas puedan acceder e interpretar información visual y escrita</w:t>
      </w:r>
      <w:r w:rsidR="00553663" w:rsidRPr="00A27A62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. </w:t>
      </w:r>
      <w:r w:rsidR="00191AFE" w:rsidRPr="00191AF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Estos dispositivos s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o</w:t>
      </w:r>
      <w:r w:rsidR="00191AFE" w:rsidRPr="00191AF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n vitales para mejorar la independencia y la ca</w:t>
      </w:r>
      <w:r w:rsidR="00191AF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lidad de vida de las personas con baja visión. </w:t>
      </w:r>
      <w:r w:rsidR="00191AFE" w:rsidRP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Los dispositivos diseñados para ampliar y mejorar la legibilidad del texto permiten a las personas con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baja </w:t>
      </w:r>
      <w:r w:rsidR="00191AFE" w:rsidRP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visi</w:t>
      </w:r>
      <w:r w:rsid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ó</w:t>
      </w:r>
      <w:r w:rsidR="00191AFE" w:rsidRP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n </w:t>
      </w:r>
      <w:r w:rsidR="009573B3" w:rsidRP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acceder a información encontrada en</w:t>
      </w:r>
      <w:r w:rsid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los frascos de los medicamentos recetados, la señales de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las </w:t>
      </w:r>
      <w:r w:rsid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calles y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los </w:t>
      </w:r>
      <w:r w:rsid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edificios y otra información de seguridad. </w:t>
      </w:r>
      <w:r w:rsidR="009573B3" w:rsidRP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El acceso a dispositivos para baja visión es, por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lo tanto</w:t>
      </w:r>
      <w:r w:rsidR="009573B3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, un componente crucial para mantener la salud mental y física. </w:t>
      </w:r>
    </w:p>
    <w:p w14:paraId="0EB473A9" w14:textId="77777777" w:rsidR="00553663" w:rsidRPr="009573B3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</w:p>
    <w:p w14:paraId="3BC5C88D" w14:textId="041BBDD7" w:rsidR="00553663" w:rsidRPr="00194C9E" w:rsidRDefault="001A3AB9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  <w:r w:rsidRPr="001A3AB9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Los dispositivos de baja visión pueden estar a menudo fuera del alcance para muchas personas con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beneficios de cobertura</w:t>
      </w:r>
      <w:r w:rsidRPr="001A3AB9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Pr="001A3AB9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lastRenderedPageBreak/>
        <w:t>de Medicare o Medicaid debido a su costo. Estos dispositivos son vitales para mantener la salud y evitar las complicaciones derivadas de un mal manejo de la salud y un estilo de vida sedentario. (Estos dispositivos a menudo significa</w:t>
      </w:r>
      <w:r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n</w:t>
      </w:r>
      <w:r w:rsidRPr="001A3AB9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la diferencia entre permanecer en </w:t>
      </w:r>
      <w:r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su</w:t>
      </w:r>
      <w:r w:rsidRPr="001A3AB9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propio hogar o comunidad y ser ingresado o permanecer en un entorno institucionalizado).</w:t>
      </w:r>
    </w:p>
    <w:p w14:paraId="2DAB9EDE" w14:textId="77777777" w:rsidR="00553663" w:rsidRPr="00194C9E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</w:p>
    <w:p w14:paraId="2BFA75BA" w14:textId="45A2FCB4" w:rsidR="00553663" w:rsidRPr="00E95DF0" w:rsidRDefault="00FD1EC8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  <w:r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Si las personas con baja visión no pueden acceder a información valiosa relacionada con l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os</w:t>
      </w:r>
      <w:r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medicamentos o se sienten inseguras al salir y participar en sus comunidades por no disponer de las herramientas adecuadas, su salud mental y física se verá afectada.</w:t>
      </w:r>
      <w:r w:rsidR="00553663"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="00E95DF0"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Es hora de que los</w:t>
      </w:r>
      <w:r w:rsidR="00553663"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CMS </w:t>
      </w:r>
      <w:r w:rsidR="00E95DF0"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revoquen la perjudicial exclusión de dispositivos para baja visión y comience</w:t>
      </w:r>
      <w:r w:rsid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n a proporcionar cobertura para dispositivos para baja visión como lupas y otros dispositivos que mejoran el contraste de colores y las condiciones de iluminación. </w:t>
      </w:r>
      <w:r w:rsidR="00E95DF0" w:rsidRP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Estos dispositivos son necesarios para mejorar la calidad de vida de las personas con </w:t>
      </w:r>
      <w:r w:rsid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baja</w:t>
      </w:r>
      <w:r w:rsidR="00A1356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visión</w:t>
      </w:r>
      <w:r w:rsidR="00E95DF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y permitirles permanecer en su comunidad.</w:t>
      </w:r>
    </w:p>
    <w:p w14:paraId="42833A8F" w14:textId="77777777" w:rsidR="00553663" w:rsidRPr="00E95DF0" w:rsidRDefault="00553663" w:rsidP="00553663">
      <w:pPr>
        <w:keepNext/>
        <w:keepLines/>
        <w:spacing w:line="276" w:lineRule="auto"/>
        <w:outlineLvl w:val="1"/>
        <w:rPr>
          <w:rFonts w:cs="Arial"/>
          <w:b w:val="0"/>
          <w:kern w:val="2"/>
          <w:sz w:val="36"/>
          <w:szCs w:val="36"/>
          <w:lang w:val="es-419"/>
          <w14:ligatures w14:val="standardContextual"/>
        </w:rPr>
      </w:pPr>
    </w:p>
    <w:p w14:paraId="3F6A5F8F" w14:textId="2D488E61" w:rsidR="00553663" w:rsidRPr="00194C9E" w:rsidRDefault="00A1356E" w:rsidP="00553663">
      <w:pPr>
        <w:keepNext/>
        <w:keepLines/>
        <w:spacing w:line="276" w:lineRule="auto"/>
        <w:outlineLvl w:val="1"/>
        <w:rPr>
          <w:rFonts w:cs="Arial"/>
          <w:bCs/>
          <w:kern w:val="2"/>
          <w:sz w:val="40"/>
          <w:szCs w:val="40"/>
          <w:lang w:val="es-419"/>
          <w14:ligatures w14:val="standardContextual"/>
        </w:rPr>
      </w:pPr>
      <w:r w:rsidRPr="00194C9E">
        <w:rPr>
          <w:rFonts w:cs="Arial"/>
          <w:bCs/>
          <w:kern w:val="2"/>
          <w:sz w:val="40"/>
          <w:szCs w:val="40"/>
          <w:lang w:val="es-419"/>
          <w14:ligatures w14:val="standardContextual"/>
        </w:rPr>
        <w:t>Llamado a la acción</w:t>
      </w:r>
      <w:r w:rsidR="00553663" w:rsidRPr="00194C9E">
        <w:rPr>
          <w:rFonts w:cs="Arial"/>
          <w:bCs/>
          <w:kern w:val="2"/>
          <w:sz w:val="40"/>
          <w:szCs w:val="40"/>
          <w:lang w:val="es-419"/>
          <w14:ligatures w14:val="standardContextual"/>
        </w:rPr>
        <w:t xml:space="preserve"> </w:t>
      </w:r>
    </w:p>
    <w:p w14:paraId="6EE0C218" w14:textId="77777777" w:rsidR="00553663" w:rsidRPr="00194C9E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</w:p>
    <w:p w14:paraId="3F83080F" w14:textId="3CEE32F4" w:rsidR="00553663" w:rsidRPr="00965C55" w:rsidRDefault="00303540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El 1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6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de marzo de 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2023,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el senador 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Bob Casey (D-PA)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presentó la Ley de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Beneficio</w:t>
      </w:r>
      <w:r w:rsidR="00FA2198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s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="00FA2198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Odontológicos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, de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A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udición y  Visión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de 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Medicare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y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Medicaid (S. 842)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para permitir a los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CMS,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bajo el programa de 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Medicare, </w:t>
      </w:r>
      <w:r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c</w:t>
      </w:r>
      <w:r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ubrir la atención de la visión de rutina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, inclu</w:t>
      </w:r>
      <w:r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yendo los dispositivos para baja visión receta</w:t>
      </w:r>
      <w:r w:rsid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dos por un médico y que permitiría a un estado cubrir estos dispositivos bajo su programa de </w:t>
      </w:r>
      <w:r w:rsidR="00553663" w:rsidRPr="0030354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Medicaid. </w:t>
      </w:r>
      <w:r w:rsidR="00965C55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El r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ep</w:t>
      </w:r>
      <w:r w:rsidR="00965C55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resentante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Lloyd Doggett (D-TX) </w:t>
      </w:r>
      <w:r w:rsidR="00965C55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presentó un proyecto de </w:t>
      </w:r>
      <w:r w:rsidR="00965C55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lastRenderedPageBreak/>
        <w:t>ley similar q</w:t>
      </w:r>
      <w:r w:rsid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ue no 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inclu</w:t>
      </w:r>
      <w:r w:rsid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y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</w:t>
      </w:r>
      <w:r w:rsid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la cobertura de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Medicaid</w:t>
      </w:r>
      <w:r w:rsid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para dispositivos de baja visión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(H.R. 33) </w:t>
      </w:r>
      <w:r w:rsid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el 9 de enero de</w:t>
      </w:r>
      <w:r w:rsidR="00553663" w:rsidRPr="00965C55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2023. </w:t>
      </w:r>
    </w:p>
    <w:p w14:paraId="20D8EC50" w14:textId="77777777" w:rsidR="00553663" w:rsidRPr="00965C55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</w:p>
    <w:p w14:paraId="4929A0E9" w14:textId="3799BA1D" w:rsidR="008E3887" w:rsidRPr="001B19CC" w:rsidRDefault="00553663" w:rsidP="00553663">
      <w:pPr>
        <w:spacing w:line="276" w:lineRule="auto"/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</w:pPr>
      <w:r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ACB </w:t>
      </w:r>
      <w:r w:rsidR="00E566D0"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hace un llamado al </w:t>
      </w:r>
      <w:r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Congres</w:t>
      </w:r>
      <w:r w:rsidR="00E566D0"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o para que apruebe la Ley de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Beneficio</w:t>
      </w:r>
      <w:r w:rsidR="00F47E04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s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="00F47E04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Odontológicos</w:t>
      </w:r>
      <w:r w:rsidR="00E566D0"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, de Visión y Audición de </w:t>
      </w:r>
      <w:r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Medicare </w:t>
      </w:r>
      <w:r w:rsidR="00E566D0"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y</w:t>
      </w:r>
      <w:r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Medicaid</w:t>
      </w:r>
      <w:r w:rsidR="00E566D0" w:rsidRP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.</w:t>
      </w:r>
      <w:r w:rsidR="00E566D0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  <w:r w:rsidR="00E566D0" w:rsidRP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Cuando se reúna con su miembro de Congreso, asegúrese de decirle qué significa para usted tener acceso a información </w:t>
      </w:r>
      <w:r w:rsidR="001B19CC" w:rsidRP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visual y textual con las herramientas y dispositivos adecuados, especialmente si tiene baja visi</w:t>
      </w:r>
      <w:r w:rsid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ó</w:t>
      </w:r>
      <w:r w:rsidR="001B19CC" w:rsidRP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n o vive con personas que la</w:t>
      </w:r>
      <w:r w:rsid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tienen, y explíquele qué barreras existen que impiden su capacidad para </w:t>
      </w:r>
      <w:r w:rsidR="00194C9E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>controlar</w:t>
      </w:r>
      <w:r w:rsid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su salud de manera segura e independiente. </w:t>
      </w:r>
      <w:r w:rsidRPr="001B19CC">
        <w:rPr>
          <w:rFonts w:eastAsia="Aptos" w:cs="Arial"/>
          <w:b w:val="0"/>
          <w:kern w:val="2"/>
          <w:sz w:val="36"/>
          <w:szCs w:val="36"/>
          <w:lang w:val="es-419"/>
          <w14:ligatures w14:val="standardContextual"/>
        </w:rPr>
        <w:t xml:space="preserve"> </w:t>
      </w:r>
    </w:p>
    <w:sectPr w:rsidR="008E3887" w:rsidRPr="001B19CC" w:rsidSect="00510616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CD9A" w14:textId="77777777" w:rsidR="00510616" w:rsidRDefault="00510616" w:rsidP="00825317">
      <w:r>
        <w:separator/>
      </w:r>
    </w:p>
  </w:endnote>
  <w:endnote w:type="continuationSeparator" w:id="0">
    <w:p w14:paraId="060F3BDA" w14:textId="77777777" w:rsidR="00510616" w:rsidRDefault="00510616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388A" w14:textId="77777777" w:rsidR="00510616" w:rsidRDefault="00510616" w:rsidP="00825317">
      <w:r>
        <w:separator/>
      </w:r>
    </w:p>
  </w:footnote>
  <w:footnote w:type="continuationSeparator" w:id="0">
    <w:p w14:paraId="13BEDEAA" w14:textId="77777777" w:rsidR="00510616" w:rsidRDefault="00510616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83473"/>
    <w:rsid w:val="000929D6"/>
    <w:rsid w:val="000B203B"/>
    <w:rsid w:val="000C743B"/>
    <w:rsid w:val="00104A5A"/>
    <w:rsid w:val="00160B7A"/>
    <w:rsid w:val="001611DD"/>
    <w:rsid w:val="0017781D"/>
    <w:rsid w:val="00191AFE"/>
    <w:rsid w:val="00194C9E"/>
    <w:rsid w:val="001A3AB9"/>
    <w:rsid w:val="001B19CC"/>
    <w:rsid w:val="001B251E"/>
    <w:rsid w:val="001E561E"/>
    <w:rsid w:val="00201833"/>
    <w:rsid w:val="00203AE3"/>
    <w:rsid w:val="0023518A"/>
    <w:rsid w:val="00271FE9"/>
    <w:rsid w:val="00276DE9"/>
    <w:rsid w:val="00297DF0"/>
    <w:rsid w:val="002D3E0E"/>
    <w:rsid w:val="00300AF8"/>
    <w:rsid w:val="00303540"/>
    <w:rsid w:val="00314A63"/>
    <w:rsid w:val="00335ABF"/>
    <w:rsid w:val="003371A2"/>
    <w:rsid w:val="00341B1B"/>
    <w:rsid w:val="00356462"/>
    <w:rsid w:val="0037524B"/>
    <w:rsid w:val="0038194F"/>
    <w:rsid w:val="00432313"/>
    <w:rsid w:val="004827BC"/>
    <w:rsid w:val="004859D9"/>
    <w:rsid w:val="0048703C"/>
    <w:rsid w:val="004B0C43"/>
    <w:rsid w:val="00510616"/>
    <w:rsid w:val="0054242A"/>
    <w:rsid w:val="00553663"/>
    <w:rsid w:val="0058312C"/>
    <w:rsid w:val="00584435"/>
    <w:rsid w:val="00587D6A"/>
    <w:rsid w:val="005901FA"/>
    <w:rsid w:val="005C3262"/>
    <w:rsid w:val="006052E1"/>
    <w:rsid w:val="00612E4E"/>
    <w:rsid w:val="00664D20"/>
    <w:rsid w:val="00685443"/>
    <w:rsid w:val="006B7C03"/>
    <w:rsid w:val="007139FA"/>
    <w:rsid w:val="00750CB6"/>
    <w:rsid w:val="00780681"/>
    <w:rsid w:val="00792A74"/>
    <w:rsid w:val="007B38EB"/>
    <w:rsid w:val="007D7CFB"/>
    <w:rsid w:val="007E7F6E"/>
    <w:rsid w:val="007F6612"/>
    <w:rsid w:val="00825317"/>
    <w:rsid w:val="00832314"/>
    <w:rsid w:val="00874C85"/>
    <w:rsid w:val="008D13EC"/>
    <w:rsid w:val="008D38E7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73B3"/>
    <w:rsid w:val="00965C55"/>
    <w:rsid w:val="009A14B4"/>
    <w:rsid w:val="009A7FCC"/>
    <w:rsid w:val="009D5500"/>
    <w:rsid w:val="009F5F1C"/>
    <w:rsid w:val="00A1356E"/>
    <w:rsid w:val="00A27A62"/>
    <w:rsid w:val="00A503A0"/>
    <w:rsid w:val="00A62E26"/>
    <w:rsid w:val="00AB18C6"/>
    <w:rsid w:val="00AB4D9A"/>
    <w:rsid w:val="00AE4302"/>
    <w:rsid w:val="00B0390C"/>
    <w:rsid w:val="00B40601"/>
    <w:rsid w:val="00B77CE5"/>
    <w:rsid w:val="00C1383D"/>
    <w:rsid w:val="00CA78BF"/>
    <w:rsid w:val="00CB752A"/>
    <w:rsid w:val="00D113DE"/>
    <w:rsid w:val="00D346B0"/>
    <w:rsid w:val="00D4279A"/>
    <w:rsid w:val="00D4374C"/>
    <w:rsid w:val="00D4692E"/>
    <w:rsid w:val="00D813C5"/>
    <w:rsid w:val="00DD0FC3"/>
    <w:rsid w:val="00E15B6D"/>
    <w:rsid w:val="00E25664"/>
    <w:rsid w:val="00E566D0"/>
    <w:rsid w:val="00E95DF0"/>
    <w:rsid w:val="00EA3644"/>
    <w:rsid w:val="00EA67E6"/>
    <w:rsid w:val="00F0282A"/>
    <w:rsid w:val="00F14E73"/>
    <w:rsid w:val="00F47E04"/>
    <w:rsid w:val="00F53AC8"/>
    <w:rsid w:val="00FA2198"/>
    <w:rsid w:val="00FD1EC8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_Flow_SignoffStatus xmlns="e92dffed-b10c-4960-bf75-72fffc0b22fd" xsi:nil="true"/>
    <TaxCatchAll xmlns="86455cc8-dc82-46e8-930c-50a60f7ff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89793-7924-4695-A794-33C34BA3E085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2.xml><?xml version="1.0" encoding="utf-8"?>
<ds:datastoreItem xmlns:ds="http://schemas.openxmlformats.org/officeDocument/2006/customXml" ds:itemID="{A034C0F7-6940-41F3-B4D7-F2A5841FF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4DA9C-9404-4E8C-BD65-6DA8D5562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ACB</dc:creator>
  <cp:lastModifiedBy>Vicky Sheridan</cp:lastModifiedBy>
  <cp:revision>7</cp:revision>
  <cp:lastPrinted>2018-02-22T16:31:00Z</cp:lastPrinted>
  <dcterms:created xsi:type="dcterms:W3CDTF">2024-01-31T16:31:00Z</dcterms:created>
  <dcterms:modified xsi:type="dcterms:W3CDTF">2024-02-14T21:16:00Z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</Properties>
</file>