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02A3" w14:textId="77777777" w:rsidR="00DF233E" w:rsidRDefault="00DF233E" w:rsidP="15EA69F1">
      <w:pPr>
        <w:pStyle w:val="Heading1"/>
        <w:spacing w:before="0" w:after="0"/>
        <w:rPr>
          <w:b/>
          <w:bCs/>
        </w:rPr>
      </w:pPr>
      <w:r w:rsidRPr="44CA48AC">
        <w:rPr>
          <w:b/>
          <w:bCs/>
        </w:rPr>
        <w:t>The</w:t>
      </w:r>
      <w:r w:rsidRPr="44CA48AC">
        <w:rPr>
          <w:b/>
          <w:bCs/>
          <w:spacing w:val="-4"/>
        </w:rPr>
        <w:t xml:space="preserve"> </w:t>
      </w:r>
      <w:r w:rsidRPr="44CA48AC">
        <w:rPr>
          <w:b/>
          <w:bCs/>
        </w:rPr>
        <w:t>Communications,</w:t>
      </w:r>
      <w:r w:rsidRPr="44CA48AC">
        <w:rPr>
          <w:b/>
          <w:bCs/>
          <w:spacing w:val="-1"/>
        </w:rPr>
        <w:t xml:space="preserve"> </w:t>
      </w:r>
      <w:r w:rsidRPr="44CA48AC">
        <w:rPr>
          <w:b/>
          <w:bCs/>
        </w:rPr>
        <w:t>Video,</w:t>
      </w:r>
      <w:r w:rsidRPr="44CA48AC">
        <w:rPr>
          <w:b/>
          <w:bCs/>
          <w:spacing w:val="-2"/>
        </w:rPr>
        <w:t xml:space="preserve"> </w:t>
      </w:r>
      <w:r w:rsidRPr="44CA48AC">
        <w:rPr>
          <w:b/>
          <w:bCs/>
        </w:rPr>
        <w:t>and</w:t>
      </w:r>
      <w:r w:rsidRPr="44CA48AC">
        <w:rPr>
          <w:b/>
          <w:bCs/>
          <w:spacing w:val="-6"/>
        </w:rPr>
        <w:t xml:space="preserve"> </w:t>
      </w:r>
      <w:r w:rsidRPr="44CA48AC">
        <w:rPr>
          <w:b/>
          <w:bCs/>
        </w:rPr>
        <w:t>Technology</w:t>
      </w:r>
      <w:r w:rsidRPr="44CA48AC">
        <w:rPr>
          <w:b/>
          <w:bCs/>
          <w:spacing w:val="-1"/>
        </w:rPr>
        <w:t xml:space="preserve"> </w:t>
      </w:r>
      <w:r w:rsidRPr="44CA48AC">
        <w:rPr>
          <w:b/>
          <w:bCs/>
        </w:rPr>
        <w:t>Accessibility</w:t>
      </w:r>
      <w:r w:rsidRPr="44CA48AC">
        <w:rPr>
          <w:b/>
          <w:bCs/>
          <w:spacing w:val="-1"/>
        </w:rPr>
        <w:t xml:space="preserve"> </w:t>
      </w:r>
      <w:r w:rsidRPr="44CA48AC">
        <w:rPr>
          <w:b/>
          <w:bCs/>
          <w:spacing w:val="-5"/>
        </w:rPr>
        <w:t>Act</w:t>
      </w:r>
    </w:p>
    <w:p w14:paraId="7B86E375" w14:textId="77777777" w:rsidR="00DF233E" w:rsidRDefault="00DF233E" w:rsidP="15EA69F1">
      <w:pPr>
        <w:pStyle w:val="BodyText"/>
        <w:spacing w:line="276" w:lineRule="auto"/>
        <w:rPr>
          <w:b/>
          <w:bCs/>
          <w:sz w:val="36"/>
          <w:szCs w:val="36"/>
        </w:rPr>
      </w:pPr>
    </w:p>
    <w:p w14:paraId="00D0F1D9" w14:textId="5D8CC341" w:rsidR="00DF233E" w:rsidRDefault="00DF233E" w:rsidP="15EA69F1">
      <w:pPr>
        <w:spacing w:after="0"/>
      </w:pPr>
      <w:r>
        <w:t>The 21st Century Communications and Video Accessibility Act (CVAA) guaranteed access for people with disabilities to advanced communications services, telecommunications hardware and software, accessible video displays and user interfaces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apparatuses,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audio-described</w:t>
      </w:r>
      <w:r>
        <w:rPr>
          <w:spacing w:val="-2"/>
        </w:rPr>
        <w:t xml:space="preserve"> </w:t>
      </w:r>
      <w:r>
        <w:t>content. For more than ten years, ACB and its members</w:t>
      </w:r>
      <w:r>
        <w:rPr>
          <w:spacing w:val="-1"/>
        </w:rPr>
        <w:t xml:space="preserve"> </w:t>
      </w:r>
      <w:r>
        <w:t>have worked to implement and enforce the CVAA, and in several key aspects, we have reached the limits of what the CVAA is able to enforce</w:t>
      </w:r>
      <w:r w:rsidR="00153A20">
        <w:t>. Technology has evolved greatly</w:t>
      </w:r>
      <w:r w:rsidR="008F0362">
        <w:t>,</w:t>
      </w:r>
      <w:r w:rsidR="00153A20">
        <w:t xml:space="preserve"> and it</w:t>
      </w:r>
      <w:r w:rsidR="008F0362">
        <w:t>’</w:t>
      </w:r>
      <w:r w:rsidR="00153A20">
        <w:t>s time for the legislation to keep pace.</w:t>
      </w:r>
    </w:p>
    <w:p w14:paraId="6ADACC80" w14:textId="77777777" w:rsidR="00DF233E" w:rsidRDefault="00DF233E" w:rsidP="15EA69F1">
      <w:pPr>
        <w:spacing w:after="0"/>
      </w:pPr>
    </w:p>
    <w:p w14:paraId="70FFCFF0" w14:textId="2A755B97" w:rsidR="00DF233E" w:rsidRDefault="00DF233E" w:rsidP="15EA69F1">
      <w:pPr>
        <w:spacing w:after="0"/>
      </w:pPr>
      <w:r>
        <w:t>It is time for Congress to update the accessible video and communications requirements of</w:t>
      </w:r>
      <w:r>
        <w:rPr>
          <w:spacing w:val="-2"/>
        </w:rPr>
        <w:t xml:space="preserve"> </w:t>
      </w:r>
      <w:r>
        <w:t>the CVAA.</w:t>
      </w:r>
      <w:r>
        <w:rPr>
          <w:spacing w:val="-2"/>
        </w:rPr>
        <w:t xml:space="preserve"> </w:t>
      </w:r>
      <w:r w:rsidR="00BA23BD">
        <w:rPr>
          <w:spacing w:val="-2"/>
        </w:rPr>
        <w:t>Both the House and Senat</w:t>
      </w:r>
      <w:r w:rsidR="008F0362">
        <w:rPr>
          <w:spacing w:val="-2"/>
        </w:rPr>
        <w:t>e</w:t>
      </w:r>
      <w:r w:rsidR="00BA23BD">
        <w:rPr>
          <w:spacing w:val="-2"/>
        </w:rPr>
        <w:t xml:space="preserve"> are close to </w:t>
      </w:r>
      <w:r>
        <w:t>introduc</w:t>
      </w:r>
      <w:r w:rsidR="00BA23BD">
        <w:t>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Communications,</w:t>
      </w:r>
      <w:r>
        <w:rPr>
          <w:spacing w:val="-6"/>
        </w:rPr>
        <w:t xml:space="preserve"> </w:t>
      </w:r>
      <w:r>
        <w:t>Video,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t xml:space="preserve">Act </w:t>
      </w:r>
      <w:r w:rsidR="00FB2149">
        <w:t xml:space="preserve">(CVTA). </w:t>
      </w:r>
      <w:r>
        <w:t>The CVTA reaffirms our nation’s commitment to accessible</w:t>
      </w:r>
      <w:r>
        <w:rPr>
          <w:spacing w:val="-3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technologies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blind,</w:t>
      </w:r>
      <w:r>
        <w:rPr>
          <w:spacing w:val="-7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 xml:space="preserve">vision, and </w:t>
      </w:r>
      <w:proofErr w:type="spellStart"/>
      <w:r>
        <w:t>DeafBlind</w:t>
      </w:r>
      <w:proofErr w:type="spellEnd"/>
      <w:r>
        <w:t xml:space="preserve">. Once passed, this legislation will update existing requirements for accessible media, video user interfaces, and video conferencing services. </w:t>
      </w:r>
      <w:r w:rsidR="005E3DB9">
        <w:t xml:space="preserve">ACB and a coalition of advocates have worked alongside industry and trade groups to find </w:t>
      </w:r>
      <w:r w:rsidR="005E3DB9">
        <w:lastRenderedPageBreak/>
        <w:t xml:space="preserve">language all parties can agree on to make this change a success. </w:t>
      </w:r>
      <w:r>
        <w:t>ACB urges Congress to support and pass the CVTA in the 119</w:t>
      </w:r>
      <w:r w:rsidR="2317BA1A" w:rsidRPr="44CA48AC">
        <w:rPr>
          <w:vertAlign w:val="superscript"/>
        </w:rPr>
        <w:t>th</w:t>
      </w:r>
      <w:r w:rsidR="2317BA1A">
        <w:t xml:space="preserve"> </w:t>
      </w:r>
      <w:r>
        <w:t xml:space="preserve">Congress. </w:t>
      </w:r>
    </w:p>
    <w:sectPr w:rsidR="00DF2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3E"/>
    <w:rsid w:val="00153A20"/>
    <w:rsid w:val="002D3554"/>
    <w:rsid w:val="005B0D5E"/>
    <w:rsid w:val="005E3DB9"/>
    <w:rsid w:val="0062291B"/>
    <w:rsid w:val="008C736B"/>
    <w:rsid w:val="008F0362"/>
    <w:rsid w:val="00921B74"/>
    <w:rsid w:val="00BA23BD"/>
    <w:rsid w:val="00D910F5"/>
    <w:rsid w:val="00DB789D"/>
    <w:rsid w:val="00DE3F8C"/>
    <w:rsid w:val="00DF233E"/>
    <w:rsid w:val="00E31204"/>
    <w:rsid w:val="00ED2F00"/>
    <w:rsid w:val="00FB2149"/>
    <w:rsid w:val="15EA69F1"/>
    <w:rsid w:val="2317BA1A"/>
    <w:rsid w:val="44CA48AC"/>
    <w:rsid w:val="490ACD86"/>
    <w:rsid w:val="53549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175F"/>
  <w15:chartTrackingRefBased/>
  <w15:docId w15:val="{33F74D55-CCA9-4F6A-AA7C-29ACBFA8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9D"/>
    <w:pPr>
      <w:spacing w:line="276" w:lineRule="auto"/>
    </w:pPr>
    <w:rPr>
      <w:rFonts w:ascii="Arial" w:hAnsi="Arial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89D"/>
    <w:pPr>
      <w:keepNext/>
      <w:keepLines/>
      <w:spacing w:before="360" w:after="80"/>
      <w:outlineLvl w:val="0"/>
    </w:pPr>
    <w:rPr>
      <w:rFonts w:eastAsiaTheme="majorEastAsia" w:cstheme="majorBidi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89D"/>
    <w:rPr>
      <w:rFonts w:ascii="Arial" w:eastAsiaTheme="majorEastAsia" w:hAnsi="Arial" w:cstheme="majorBidi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33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233E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233E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E74F70FDEFE4080F6F9DF0ADEF941" ma:contentTypeVersion="18" ma:contentTypeDescription="Create a new document." ma:contentTypeScope="" ma:versionID="402463782f2ffe22047d12e3c8484bd4">
  <xsd:schema xmlns:xsd="http://www.w3.org/2001/XMLSchema" xmlns:xs="http://www.w3.org/2001/XMLSchema" xmlns:p="http://schemas.microsoft.com/office/2006/metadata/properties" xmlns:ns2="e92dffed-b10c-4960-bf75-72fffc0b22fd" xmlns:ns3="86455cc8-dc82-46e8-930c-50a60f7ff9ac" targetNamespace="http://schemas.microsoft.com/office/2006/metadata/properties" ma:root="true" ma:fieldsID="79691daa4c84e5d3641d34c1d95f5b6b" ns2:_="" ns3:_="">
    <xsd:import namespace="e92dffed-b10c-4960-bf75-72fffc0b22fd"/>
    <xsd:import namespace="86455cc8-dc82-46e8-930c-50a60f7ff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ffed-b10c-4960-bf75-72fffc0b2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83f84f-df74-41d1-a5e4-b558ebf52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5cc8-dc82-46e8-930c-50a60f7ff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3985e5-d27d-4e34-af8d-e53bcdeafe4a}" ma:internalName="TaxCatchAll" ma:showField="CatchAllData" ma:web="86455cc8-dc82-46e8-930c-50a60f7ff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dffed-b10c-4960-bf75-72fffc0b22fd">
      <Terms xmlns="http://schemas.microsoft.com/office/infopath/2007/PartnerControls"/>
    </lcf76f155ced4ddcb4097134ff3c332f>
    <TaxCatchAll xmlns="86455cc8-dc82-46e8-930c-50a60f7ff9ac" xsi:nil="true"/>
    <_Flow_SignoffStatus xmlns="e92dffed-b10c-4960-bf75-72fffc0b22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6D8CD-294B-474F-B645-D96E3D04D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ffed-b10c-4960-bf75-72fffc0b22fd"/>
    <ds:schemaRef ds:uri="86455cc8-dc82-46e8-930c-50a60f7ff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64058-2232-49BD-A5D4-BED3D13DF93B}">
  <ds:schemaRefs>
    <ds:schemaRef ds:uri="http://schemas.microsoft.com/office/2006/metadata/properties"/>
    <ds:schemaRef ds:uri="http://schemas.microsoft.com/office/infopath/2007/PartnerControls"/>
    <ds:schemaRef ds:uri="e92dffed-b10c-4960-bf75-72fffc0b22fd"/>
    <ds:schemaRef ds:uri="86455cc8-dc82-46e8-930c-50a60f7ff9ac"/>
  </ds:schemaRefs>
</ds:datastoreItem>
</file>

<file path=customXml/itemProps3.xml><?xml version="1.0" encoding="utf-8"?>
<ds:datastoreItem xmlns:ds="http://schemas.openxmlformats.org/officeDocument/2006/customXml" ds:itemID="{E7E836D5-577F-4282-89E5-3D5798A73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1173</Characters>
  <Application>Microsoft Office Word</Application>
  <DocSecurity>0</DocSecurity>
  <Lines>29</Lines>
  <Paragraphs>3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Feela</dc:creator>
  <cp:keywords/>
  <dc:description/>
  <cp:lastModifiedBy>Sharon Lovering</cp:lastModifiedBy>
  <cp:revision>2</cp:revision>
  <dcterms:created xsi:type="dcterms:W3CDTF">2025-12-11T21:08:00Z</dcterms:created>
  <dcterms:modified xsi:type="dcterms:W3CDTF">2025-12-11T21:08:00Z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0x010100F02E74F70FDEFE4080F6F9DF0ADEF941</vt:lpwstr>
  </property>
  <property fmtid="{D5CDD505-2E9C-101B-9397-08002B2CF9AE}" pid="3" name="MediaServiceImageTags">
    <vt:lpwstr/>
  </property>
</Properties>
</file>