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58E4" w14:textId="77777777" w:rsidR="00E77F75" w:rsidRPr="00043210" w:rsidRDefault="00E77F75" w:rsidP="03C9AE3F">
      <w:pPr>
        <w:pStyle w:val="Heading1"/>
        <w:spacing w:before="0" w:after="0"/>
        <w:rPr>
          <w:sz w:val="48"/>
          <w:szCs w:val="44"/>
        </w:rPr>
      </w:pPr>
      <w:r w:rsidRPr="00043210">
        <w:rPr>
          <w:sz w:val="48"/>
          <w:szCs w:val="44"/>
        </w:rPr>
        <w:t>The</w:t>
      </w:r>
      <w:r w:rsidRPr="00043210">
        <w:rPr>
          <w:spacing w:val="-3"/>
          <w:sz w:val="48"/>
          <w:szCs w:val="44"/>
        </w:rPr>
        <w:t xml:space="preserve"> </w:t>
      </w:r>
      <w:r w:rsidRPr="00043210">
        <w:rPr>
          <w:sz w:val="48"/>
          <w:szCs w:val="44"/>
        </w:rPr>
        <w:t>Medical</w:t>
      </w:r>
      <w:r w:rsidRPr="00043210">
        <w:rPr>
          <w:spacing w:val="-2"/>
          <w:sz w:val="48"/>
          <w:szCs w:val="44"/>
        </w:rPr>
        <w:t xml:space="preserve"> </w:t>
      </w:r>
      <w:r w:rsidRPr="00043210">
        <w:rPr>
          <w:sz w:val="48"/>
          <w:szCs w:val="44"/>
        </w:rPr>
        <w:t>Device</w:t>
      </w:r>
      <w:r w:rsidRPr="00043210">
        <w:rPr>
          <w:spacing w:val="-3"/>
          <w:sz w:val="48"/>
          <w:szCs w:val="44"/>
        </w:rPr>
        <w:t xml:space="preserve"> </w:t>
      </w:r>
      <w:r w:rsidRPr="00043210">
        <w:rPr>
          <w:sz w:val="48"/>
          <w:szCs w:val="44"/>
        </w:rPr>
        <w:t>Nonvisual</w:t>
      </w:r>
      <w:r w:rsidRPr="00043210">
        <w:rPr>
          <w:spacing w:val="-2"/>
          <w:sz w:val="48"/>
          <w:szCs w:val="44"/>
        </w:rPr>
        <w:t xml:space="preserve"> </w:t>
      </w:r>
      <w:r w:rsidRPr="00043210">
        <w:rPr>
          <w:sz w:val="48"/>
          <w:szCs w:val="44"/>
        </w:rPr>
        <w:t>Accessibility</w:t>
      </w:r>
      <w:r w:rsidRPr="00043210">
        <w:rPr>
          <w:spacing w:val="-2"/>
          <w:sz w:val="48"/>
          <w:szCs w:val="44"/>
        </w:rPr>
        <w:t xml:space="preserve"> </w:t>
      </w:r>
      <w:r w:rsidRPr="00043210">
        <w:rPr>
          <w:spacing w:val="-5"/>
          <w:sz w:val="48"/>
          <w:szCs w:val="44"/>
        </w:rPr>
        <w:t>Act</w:t>
      </w:r>
    </w:p>
    <w:p w14:paraId="2BAEF27A" w14:textId="77777777" w:rsidR="00E77F75" w:rsidRDefault="00E77F75" w:rsidP="03C9AE3F">
      <w:pPr>
        <w:pStyle w:val="BodyText"/>
        <w:spacing w:line="276" w:lineRule="auto"/>
        <w:rPr>
          <w:b/>
          <w:bCs/>
          <w:sz w:val="36"/>
          <w:szCs w:val="36"/>
        </w:rPr>
      </w:pPr>
    </w:p>
    <w:p w14:paraId="71990F61" w14:textId="6457D8A9" w:rsidR="00E77F75" w:rsidRDefault="00E77F75" w:rsidP="03C9AE3F">
      <w:pPr>
        <w:spacing w:after="0"/>
      </w:pPr>
      <w:proofErr w:type="gramStart"/>
      <w:r>
        <w:t>The majority of</w:t>
      </w:r>
      <w:proofErr w:type="gramEnd"/>
      <w:r>
        <w:t xml:space="preserve"> home use medical devices and outpatient equipment utilizes digital display</w:t>
      </w:r>
      <w:r>
        <w:rPr>
          <w:spacing w:val="-3"/>
        </w:rPr>
        <w:t xml:space="preserve"> </w:t>
      </w:r>
      <w:r>
        <w:t>interfaces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inaccessible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blind,</w:t>
      </w:r>
      <w:r>
        <w:rPr>
          <w:spacing w:val="-5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vision,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DeafBlind</w:t>
      </w:r>
      <w:proofErr w:type="spellEnd"/>
      <w:r>
        <w:rPr>
          <w:spacing w:val="-2"/>
        </w:rPr>
        <w:t xml:space="preserve"> </w:t>
      </w:r>
      <w:r>
        <w:t>users.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2 and Class 3 medical devices such as glucose monitors,</w:t>
      </w:r>
      <w:r>
        <w:rPr>
          <w:spacing w:val="-2"/>
        </w:rPr>
        <w:t xml:space="preserve"> </w:t>
      </w:r>
      <w:r>
        <w:t>blood pressure readers,</w:t>
      </w:r>
      <w:r>
        <w:rPr>
          <w:spacing w:val="-2"/>
        </w:rPr>
        <w:t xml:space="preserve"> </w:t>
      </w:r>
      <w:r>
        <w:t xml:space="preserve">and at-home chemotherapy treatments do not have any non-visual accessibility features like text to speech output, tactile markings, or audible tones built in. As a result, people who are blind, low vision, and </w:t>
      </w:r>
      <w:proofErr w:type="spellStart"/>
      <w:r>
        <w:t>DeafBlind</w:t>
      </w:r>
      <w:proofErr w:type="spellEnd"/>
      <w:r>
        <w:t xml:space="preserve"> cannot independently manage their health from the privacy of their own homes in the same ways as people who are not disabled.</w:t>
      </w:r>
    </w:p>
    <w:p w14:paraId="17EFED02" w14:textId="77777777" w:rsidR="00E77F75" w:rsidRDefault="00E77F75" w:rsidP="03C9AE3F">
      <w:pPr>
        <w:pStyle w:val="BodyText"/>
        <w:spacing w:line="276" w:lineRule="auto"/>
        <w:rPr>
          <w:sz w:val="36"/>
          <w:szCs w:val="36"/>
        </w:rPr>
      </w:pPr>
    </w:p>
    <w:p w14:paraId="2768D2FF" w14:textId="1A533A9D" w:rsidR="00E77F75" w:rsidRDefault="00E77F75" w:rsidP="0021748D">
      <w:pPr>
        <w:spacing w:after="0"/>
      </w:pPr>
      <w:r>
        <w:t>ACB calls on Congress to support and pass the</w:t>
      </w:r>
      <w:r>
        <w:rPr>
          <w:spacing w:val="-2"/>
        </w:rPr>
        <w:t xml:space="preserve"> </w:t>
      </w:r>
      <w:r>
        <w:t>Medical Device Nonvisual Accessibility Act</w:t>
      </w:r>
      <w:r w:rsidR="005E304D">
        <w:t>, H.R. 5605</w:t>
      </w:r>
      <w:r>
        <w:t>.</w:t>
      </w:r>
      <w:r>
        <w:rPr>
          <w:spacing w:val="-5"/>
        </w:rPr>
        <w:t xml:space="preserve"> </w:t>
      </w:r>
      <w:r w:rsidR="00102D35">
        <w:rPr>
          <w:spacing w:val="-5"/>
        </w:rPr>
        <w:t xml:space="preserve">The bill </w:t>
      </w:r>
      <w:r>
        <w:t>was</w:t>
      </w:r>
      <w:r>
        <w:rPr>
          <w:spacing w:val="-3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 xml:space="preserve">in </w:t>
      </w:r>
      <w:r w:rsidR="00043210">
        <w:t xml:space="preserve">the </w:t>
      </w:r>
      <w:r>
        <w:t>House by Rep. Jan Schakowsky (D-IL) to ensure that medical equipment with a digital display is accessible and that people with disabilities can take back control of their health. We are hopeful it will quickly be reintroduced</w:t>
      </w:r>
      <w:r w:rsidR="00102D35">
        <w:t xml:space="preserve"> in the Senate</w:t>
      </w:r>
      <w:r>
        <w:t>. This legislation would require the Food and Drug Administration to consider non-visual accessibility when approving Class 2 and Class 3 medical equipment and devices with a digital display to ensure access for patients with disabilities.</w:t>
      </w:r>
    </w:p>
    <w:sectPr w:rsidR="00E7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3E"/>
    <w:rsid w:val="00043210"/>
    <w:rsid w:val="00102D35"/>
    <w:rsid w:val="0021748D"/>
    <w:rsid w:val="002D3554"/>
    <w:rsid w:val="00385218"/>
    <w:rsid w:val="00480F12"/>
    <w:rsid w:val="005066FD"/>
    <w:rsid w:val="005E304D"/>
    <w:rsid w:val="0062291B"/>
    <w:rsid w:val="00845E1A"/>
    <w:rsid w:val="008C736B"/>
    <w:rsid w:val="00921B74"/>
    <w:rsid w:val="009D7F82"/>
    <w:rsid w:val="00B53C2A"/>
    <w:rsid w:val="00DF233E"/>
    <w:rsid w:val="00E77F75"/>
    <w:rsid w:val="00ED2F00"/>
    <w:rsid w:val="03C9AE3F"/>
    <w:rsid w:val="101E96DB"/>
    <w:rsid w:val="28E2339C"/>
    <w:rsid w:val="317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175F"/>
  <w15:chartTrackingRefBased/>
  <w15:docId w15:val="{33F74D55-CCA9-4F6A-AA7C-29ACBFA8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18"/>
    <w:pPr>
      <w:spacing w:line="27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218"/>
    <w:pPr>
      <w:keepNext/>
      <w:keepLines/>
      <w:spacing w:before="360" w:after="80"/>
      <w:outlineLvl w:val="0"/>
    </w:pPr>
    <w:rPr>
      <w:rFonts w:eastAsiaTheme="majorEastAsia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218"/>
    <w:rPr>
      <w:rFonts w:ascii="Arial" w:eastAsiaTheme="majorEastAsia" w:hAnsi="Arial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233E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233E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402463782f2ffe22047d12e3c8484bd4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79691daa4c84e5d3641d34c1d95f5b6b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3985e5-d27d-4e34-af8d-e53bcdeafe4a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TaxCatchAll xmlns="86455cc8-dc82-46e8-930c-50a60f7ff9ac" xsi:nil="true"/>
    <_Flow_SignoffStatus xmlns="e92dffed-b10c-4960-bf75-72fffc0b22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1B6A9-0D3E-4291-B5A8-8C42E8BF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ffed-b10c-4960-bf75-72fffc0b22fd"/>
    <ds:schemaRef ds:uri="86455cc8-dc82-46e8-930c-50a60f7f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EC379-FEF9-4A59-BE41-E13382F6D256}">
  <ds:schemaRefs>
    <ds:schemaRef ds:uri="http://schemas.microsoft.com/office/2006/metadata/properties"/>
    <ds:schemaRef ds:uri="http://schemas.microsoft.com/office/infopath/2007/PartnerControls"/>
    <ds:schemaRef ds:uri="e92dffed-b10c-4960-bf75-72fffc0b22fd"/>
    <ds:schemaRef ds:uri="86455cc8-dc82-46e8-930c-50a60f7ff9ac"/>
  </ds:schemaRefs>
</ds:datastoreItem>
</file>

<file path=customXml/itemProps3.xml><?xml version="1.0" encoding="utf-8"?>
<ds:datastoreItem xmlns:ds="http://schemas.openxmlformats.org/officeDocument/2006/customXml" ds:itemID="{BB15E145-BFA2-40C7-894F-7198D6FD3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1149</Characters>
  <Application>Microsoft Office Word</Application>
  <DocSecurity>0</DocSecurity>
  <Lines>60</Lines>
  <Paragraphs>41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Feela</dc:creator>
  <cp:keywords/>
  <dc:description/>
  <cp:lastModifiedBy>Sharon Lovering</cp:lastModifiedBy>
  <cp:revision>2</cp:revision>
  <dcterms:created xsi:type="dcterms:W3CDTF">2025-12-11T21:01:00Z</dcterms:created>
  <dcterms:modified xsi:type="dcterms:W3CDTF">2025-12-11T21:01:00Z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  <property fmtid="{D5CDD505-2E9C-101B-9397-08002B2CF9AE}" pid="3" name="MediaServiceImageTags">
    <vt:lpwstr/>
  </property>
</Properties>
</file>