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B47C5" w14:textId="77777777" w:rsidR="003C7570" w:rsidRDefault="00000000">
      <w:pPr>
        <w:jc w:val="center"/>
      </w:pPr>
      <w:r>
        <w:rPr>
          <w:rFonts w:cs="Times New Roman"/>
          <w:b/>
        </w:rPr>
        <w:t>Before the</w:t>
      </w:r>
    </w:p>
    <w:p w14:paraId="5BACF97A" w14:textId="77777777" w:rsidR="003C7570" w:rsidRDefault="00000000">
      <w:pPr>
        <w:jc w:val="center"/>
      </w:pPr>
      <w:r>
        <w:rPr>
          <w:rFonts w:cs="Times New Roman"/>
          <w:b/>
        </w:rPr>
        <w:t>Federal Communications Commission</w:t>
      </w:r>
    </w:p>
    <w:p w14:paraId="15EB9DE8" w14:textId="77777777" w:rsidR="003C7570" w:rsidRDefault="00000000">
      <w:pPr>
        <w:spacing w:after="360"/>
        <w:jc w:val="center"/>
      </w:pPr>
      <w:r>
        <w:rPr>
          <w:rFonts w:cs="Times New Roman"/>
          <w:b/>
        </w:rPr>
        <w:t>Washington, D.C. 20554</w:t>
      </w:r>
    </w:p>
    <w:p w14:paraId="0B1585EE" w14:textId="77777777" w:rsidR="003C7570" w:rsidRDefault="00000000">
      <w:pPr>
        <w:spacing w:after="200"/>
      </w:pPr>
      <w:r>
        <w:rPr>
          <w:rFonts w:cs="Times New Roman"/>
          <w:b/>
        </w:rPr>
        <w:t>In the Matter of:</w:t>
      </w:r>
    </w:p>
    <w:p w14:paraId="53BFBB39" w14:textId="77777777" w:rsidR="003C7570" w:rsidRDefault="00000000">
      <w:pPr>
        <w:tabs>
          <w:tab w:val="right" w:pos="9360"/>
        </w:tabs>
        <w:spacing w:after="160" w:line="240" w:lineRule="auto"/>
      </w:pPr>
      <w:r>
        <w:rPr>
          <w:rFonts w:cs="Times New Roman"/>
        </w:rPr>
        <w:t>Modernization of the Nation’s Alerting Systems</w:t>
      </w:r>
      <w:r>
        <w:rPr>
          <w:rFonts w:cs="Times New Roman"/>
        </w:rPr>
        <w:tab/>
        <w:t>PS Docket No. 25-224</w:t>
      </w:r>
    </w:p>
    <w:p w14:paraId="7D7E69A5" w14:textId="77777777" w:rsidR="003C7570" w:rsidRDefault="00000000">
      <w:pPr>
        <w:tabs>
          <w:tab w:val="right" w:pos="9360"/>
        </w:tabs>
        <w:spacing w:after="160" w:line="240" w:lineRule="auto"/>
      </w:pPr>
      <w:r>
        <w:rPr>
          <w:rFonts w:cs="Times New Roman"/>
        </w:rPr>
        <w:t>Wireless Emergency Alerts</w:t>
      </w:r>
      <w:r>
        <w:rPr>
          <w:rFonts w:cs="Times New Roman"/>
        </w:rPr>
        <w:tab/>
        <w:t>PS Docket No. 15-91</w:t>
      </w:r>
    </w:p>
    <w:p w14:paraId="75A7ED61" w14:textId="77777777" w:rsidR="003C7570" w:rsidRDefault="00000000">
      <w:pPr>
        <w:tabs>
          <w:tab w:val="right" w:pos="9360"/>
        </w:tabs>
        <w:spacing w:after="160" w:line="240" w:lineRule="auto"/>
      </w:pPr>
      <w:r>
        <w:rPr>
          <w:rFonts w:cs="Times New Roman"/>
        </w:rPr>
        <w:t>Amendment of Part 11 of the Commission’s Rules</w:t>
      </w:r>
      <w:r>
        <w:rPr>
          <w:rFonts w:cs="Times New Roman"/>
        </w:rPr>
        <w:tab/>
        <w:t>PS Docket No. 15-94</w:t>
      </w:r>
      <w:r>
        <w:rPr>
          <w:rFonts w:cs="Times New Roman"/>
        </w:rPr>
        <w:br/>
        <w:t>Regarding the Emergency Alert System</w:t>
      </w:r>
    </w:p>
    <w:p w14:paraId="464A879E" w14:textId="77777777" w:rsidR="003C7570" w:rsidRDefault="003C7570">
      <w:pPr>
        <w:spacing w:after="480"/>
      </w:pPr>
    </w:p>
    <w:p w14:paraId="34418919" w14:textId="77777777" w:rsidR="003C7570" w:rsidRDefault="00000000">
      <w:pPr>
        <w:spacing w:after="60"/>
        <w:jc w:val="center"/>
      </w:pPr>
      <w:r>
        <w:rPr>
          <w:rFonts w:cs="Times New Roman"/>
          <w:b/>
          <w:sz w:val="26"/>
        </w:rPr>
        <w:t>RECOMMENDATIONS OF THE</w:t>
      </w:r>
    </w:p>
    <w:p w14:paraId="51354F9C" w14:textId="77777777" w:rsidR="003C7570" w:rsidRDefault="00000000">
      <w:pPr>
        <w:spacing w:after="60"/>
        <w:jc w:val="center"/>
      </w:pPr>
      <w:r>
        <w:rPr>
          <w:rFonts w:cs="Times New Roman"/>
          <w:b/>
          <w:sz w:val="26"/>
        </w:rPr>
        <w:t>AMERICAN COUNCIL OF THE BLIND,</w:t>
      </w:r>
    </w:p>
    <w:p w14:paraId="053BF11D" w14:textId="77777777" w:rsidR="003C7570" w:rsidRDefault="00000000">
      <w:pPr>
        <w:spacing w:after="60"/>
        <w:jc w:val="center"/>
      </w:pPr>
      <w:r>
        <w:rPr>
          <w:rFonts w:cs="Times New Roman"/>
          <w:b/>
          <w:sz w:val="26"/>
        </w:rPr>
        <w:t>AMERICAN FOUNDATION FOR THE BLIND, AND</w:t>
      </w:r>
    </w:p>
    <w:p w14:paraId="679D860D" w14:textId="77777777" w:rsidR="003C7570" w:rsidRDefault="00000000">
      <w:pPr>
        <w:spacing w:after="60"/>
        <w:jc w:val="center"/>
      </w:pPr>
      <w:r>
        <w:rPr>
          <w:rFonts w:cs="Times New Roman"/>
          <w:b/>
          <w:sz w:val="26"/>
        </w:rPr>
        <w:t>BRIDGE MULTIMEDIA CORPORATION</w:t>
      </w:r>
    </w:p>
    <w:p w14:paraId="212C9A7C" w14:textId="77777777" w:rsidR="003C7570" w:rsidRDefault="003C7570">
      <w:pPr>
        <w:spacing w:after="360"/>
      </w:pPr>
    </w:p>
    <w:p w14:paraId="472F40E4" w14:textId="77777777" w:rsidR="003C7570" w:rsidRDefault="00000000">
      <w:pPr>
        <w:jc w:val="center"/>
      </w:pPr>
      <w:r>
        <w:rPr>
          <w:rFonts w:cs="Times New Roman"/>
        </w:rPr>
        <w:t>August 28, 2026</w:t>
      </w:r>
    </w:p>
    <w:p w14:paraId="7AD94D5B" w14:textId="77777777" w:rsidR="003C7570" w:rsidRDefault="00000000">
      <w:pPr>
        <w:pStyle w:val="Heading1"/>
        <w:pageBreakBefore/>
        <w:spacing w:before="120" w:after="240" w:line="240" w:lineRule="auto"/>
        <w:jc w:val="center"/>
      </w:pPr>
      <w:r>
        <w:rPr>
          <w:rFonts w:ascii="Times New Roman" w:eastAsia="Times New Roman" w:hAnsi="Times New Roman" w:cs="Times New Roman"/>
        </w:rPr>
        <w:lastRenderedPageBreak/>
        <w:t>Table of Contents</w:t>
      </w:r>
    </w:p>
    <w:p w14:paraId="7D7996CA" w14:textId="77777777" w:rsidR="003C7570" w:rsidRDefault="00000000">
      <w:pPr>
        <w:tabs>
          <w:tab w:val="right" w:leader="dot" w:pos="9360"/>
        </w:tabs>
        <w:spacing w:after="20" w:line="240" w:lineRule="auto"/>
      </w:pPr>
      <w:r>
        <w:rPr>
          <w:rFonts w:cs="Times New Roman"/>
          <w:sz w:val="19"/>
        </w:rPr>
        <w:t>Preface</w:t>
      </w:r>
      <w:r>
        <w:rPr>
          <w:rFonts w:cs="Times New Roman"/>
          <w:sz w:val="19"/>
        </w:rPr>
        <w:tab/>
        <w:t>3</w:t>
      </w:r>
    </w:p>
    <w:p w14:paraId="3C9AB19A" w14:textId="77777777" w:rsidR="003C7570" w:rsidRDefault="00000000">
      <w:pPr>
        <w:tabs>
          <w:tab w:val="right" w:leader="dot" w:pos="9360"/>
        </w:tabs>
        <w:spacing w:after="20" w:line="240" w:lineRule="auto"/>
      </w:pPr>
      <w:r>
        <w:rPr>
          <w:rFonts w:cs="Times New Roman"/>
          <w:sz w:val="19"/>
        </w:rPr>
        <w:t>I. Introduction</w:t>
      </w:r>
      <w:r>
        <w:rPr>
          <w:rFonts w:cs="Times New Roman"/>
          <w:sz w:val="19"/>
        </w:rPr>
        <w:tab/>
        <w:t>4</w:t>
      </w:r>
    </w:p>
    <w:p w14:paraId="159C4248" w14:textId="77777777" w:rsidR="003C7570" w:rsidRDefault="00000000">
      <w:pPr>
        <w:tabs>
          <w:tab w:val="right" w:leader="dot" w:pos="9360"/>
        </w:tabs>
        <w:spacing w:after="20" w:line="240" w:lineRule="auto"/>
      </w:pPr>
      <w:r>
        <w:rPr>
          <w:rFonts w:cs="Times New Roman"/>
          <w:sz w:val="19"/>
        </w:rPr>
        <w:t>II. Summary of Recommendations</w:t>
      </w:r>
      <w:r>
        <w:rPr>
          <w:rFonts w:cs="Times New Roman"/>
          <w:sz w:val="19"/>
        </w:rPr>
        <w:tab/>
        <w:t>5</w:t>
      </w:r>
    </w:p>
    <w:p w14:paraId="26A775C3" w14:textId="77777777" w:rsidR="003C7570" w:rsidRDefault="00000000">
      <w:pPr>
        <w:tabs>
          <w:tab w:val="right" w:leader="dot" w:pos="9360"/>
        </w:tabs>
        <w:spacing w:after="20" w:line="240" w:lineRule="auto"/>
      </w:pPr>
      <w:r>
        <w:rPr>
          <w:rFonts w:cs="Times New Roman"/>
          <w:sz w:val="19"/>
        </w:rPr>
        <w:t>III. Recommendations</w:t>
      </w:r>
      <w:r>
        <w:rPr>
          <w:rFonts w:cs="Times New Roman"/>
          <w:sz w:val="19"/>
        </w:rPr>
        <w:tab/>
        <w:t>7</w:t>
      </w:r>
    </w:p>
    <w:p w14:paraId="015D76C3" w14:textId="77777777" w:rsidR="003C7570" w:rsidRDefault="00000000">
      <w:pPr>
        <w:tabs>
          <w:tab w:val="right" w:leader="dot" w:pos="9000"/>
        </w:tabs>
        <w:spacing w:after="20" w:line="240" w:lineRule="auto"/>
        <w:ind w:left="360"/>
      </w:pPr>
      <w:r>
        <w:rPr>
          <w:rFonts w:cs="Times New Roman"/>
          <w:sz w:val="19"/>
        </w:rPr>
        <w:t>Topic 1 — The Commission Should Preserve Accessible Performance as It Implements Adopted Cybersecurity Measures</w:t>
      </w:r>
      <w:r>
        <w:rPr>
          <w:rFonts w:cs="Times New Roman"/>
          <w:sz w:val="19"/>
        </w:rPr>
        <w:tab/>
        <w:t>7</w:t>
      </w:r>
    </w:p>
    <w:p w14:paraId="79A1BDCD" w14:textId="77777777" w:rsidR="003C7570" w:rsidRDefault="00000000">
      <w:pPr>
        <w:tabs>
          <w:tab w:val="right" w:leader="dot" w:pos="9000"/>
        </w:tabs>
        <w:spacing w:after="20" w:line="240" w:lineRule="auto"/>
        <w:ind w:left="360"/>
      </w:pPr>
      <w:r>
        <w:rPr>
          <w:rFonts w:cs="Times New Roman"/>
          <w:sz w:val="19"/>
        </w:rPr>
        <w:t>Topic 2 — EAS Message Authentication Should Preserve Timely, Accessible Presentation</w:t>
      </w:r>
      <w:r>
        <w:rPr>
          <w:rFonts w:cs="Times New Roman"/>
          <w:sz w:val="19"/>
        </w:rPr>
        <w:tab/>
        <w:t>8</w:t>
      </w:r>
    </w:p>
    <w:p w14:paraId="4CFB4CB2" w14:textId="77777777" w:rsidR="003C7570" w:rsidRDefault="00000000">
      <w:pPr>
        <w:tabs>
          <w:tab w:val="right" w:leader="dot" w:pos="9000"/>
        </w:tabs>
        <w:spacing w:after="20" w:line="240" w:lineRule="auto"/>
        <w:ind w:left="360"/>
      </w:pPr>
      <w:r>
        <w:rPr>
          <w:rFonts w:cs="Times New Roman"/>
          <w:sz w:val="19"/>
        </w:rPr>
        <w:t>Topic 3 — Reliability Measures Should Reach Missed Recipients Without Creating Duplicate Confusion</w:t>
      </w:r>
      <w:r>
        <w:rPr>
          <w:rFonts w:cs="Times New Roman"/>
          <w:sz w:val="19"/>
        </w:rPr>
        <w:tab/>
        <w:t>9</w:t>
      </w:r>
    </w:p>
    <w:p w14:paraId="5FBA2B58" w14:textId="77777777" w:rsidR="003C7570" w:rsidRDefault="00000000">
      <w:pPr>
        <w:tabs>
          <w:tab w:val="right" w:leader="dot" w:pos="9000"/>
        </w:tabs>
        <w:spacing w:after="20" w:line="240" w:lineRule="auto"/>
        <w:ind w:left="360"/>
      </w:pPr>
      <w:r>
        <w:rPr>
          <w:rFonts w:cs="Times New Roman"/>
          <w:sz w:val="19"/>
        </w:rPr>
        <w:t>Topic 4 — Geotargeting Must Improve Both Delivery Accuracy and Geographic Comprehension</w:t>
      </w:r>
      <w:r>
        <w:rPr>
          <w:rFonts w:cs="Times New Roman"/>
          <w:sz w:val="19"/>
        </w:rPr>
        <w:tab/>
        <w:t>10</w:t>
      </w:r>
    </w:p>
    <w:p w14:paraId="041DB147" w14:textId="77777777" w:rsidR="003C7570" w:rsidRDefault="00000000">
      <w:pPr>
        <w:tabs>
          <w:tab w:val="right" w:leader="dot" w:pos="9000"/>
        </w:tabs>
        <w:spacing w:after="20" w:line="240" w:lineRule="auto"/>
        <w:ind w:left="360"/>
      </w:pPr>
      <w:r>
        <w:rPr>
          <w:rFonts w:cs="Times New Roman"/>
          <w:sz w:val="19"/>
        </w:rPr>
        <w:t>Topic 5 — Symbols Should Supplement, Not Replace, Complete Accessible Emergency Information</w:t>
      </w:r>
      <w:r>
        <w:rPr>
          <w:rFonts w:cs="Times New Roman"/>
          <w:sz w:val="19"/>
        </w:rPr>
        <w:tab/>
        <w:t>11</w:t>
      </w:r>
    </w:p>
    <w:p w14:paraId="0226B043" w14:textId="77777777" w:rsidR="003C7570" w:rsidRDefault="00000000">
      <w:pPr>
        <w:tabs>
          <w:tab w:val="right" w:leader="dot" w:pos="9000"/>
        </w:tabs>
        <w:spacing w:after="20" w:line="240" w:lineRule="auto"/>
        <w:ind w:left="360"/>
      </w:pPr>
      <w:r>
        <w:rPr>
          <w:rFonts w:cs="Times New Roman"/>
          <w:sz w:val="19"/>
        </w:rPr>
        <w:t>Topic 6 — Earthquake Alerts Should Support Rapid Recognition Without Competing with Existing Accessibility Pathways</w:t>
      </w:r>
      <w:r>
        <w:rPr>
          <w:rFonts w:cs="Times New Roman"/>
          <w:sz w:val="19"/>
        </w:rPr>
        <w:tab/>
        <w:t>12</w:t>
      </w:r>
    </w:p>
    <w:p w14:paraId="2144A80C" w14:textId="77777777" w:rsidR="003C7570" w:rsidRDefault="00000000">
      <w:pPr>
        <w:tabs>
          <w:tab w:val="right" w:leader="dot" w:pos="9000"/>
        </w:tabs>
        <w:spacing w:after="20" w:line="240" w:lineRule="auto"/>
        <w:ind w:left="360"/>
      </w:pPr>
      <w:r>
        <w:rPr>
          <w:rFonts w:cs="Times New Roman"/>
          <w:sz w:val="19"/>
        </w:rPr>
        <w:t>Topic 7 — Software-Based EAS Should Preserve Accessibility Through Updates, Failover, and Recovery</w:t>
      </w:r>
      <w:r>
        <w:rPr>
          <w:rFonts w:cs="Times New Roman"/>
          <w:sz w:val="19"/>
        </w:rPr>
        <w:tab/>
        <w:t>14</w:t>
      </w:r>
    </w:p>
    <w:p w14:paraId="61EFA68E" w14:textId="77777777" w:rsidR="003C7570" w:rsidRDefault="00000000">
      <w:pPr>
        <w:tabs>
          <w:tab w:val="right" w:leader="dot" w:pos="9000"/>
        </w:tabs>
        <w:spacing w:after="20" w:line="240" w:lineRule="auto"/>
        <w:ind w:left="360"/>
      </w:pPr>
      <w:r>
        <w:rPr>
          <w:rFonts w:cs="Times New Roman"/>
          <w:sz w:val="19"/>
        </w:rPr>
        <w:t>Topic 8 — Retirement of the 90-Character Requirement Should Improve Accessible Message Design</w:t>
      </w:r>
      <w:r>
        <w:rPr>
          <w:rFonts w:cs="Times New Roman"/>
          <w:sz w:val="19"/>
        </w:rPr>
        <w:tab/>
        <w:t>15</w:t>
      </w:r>
    </w:p>
    <w:p w14:paraId="41D59065" w14:textId="77777777" w:rsidR="003C7570" w:rsidRDefault="00000000">
      <w:pPr>
        <w:tabs>
          <w:tab w:val="right" w:leader="dot" w:pos="9360"/>
        </w:tabs>
        <w:spacing w:after="20" w:line="240" w:lineRule="auto"/>
      </w:pPr>
      <w:r>
        <w:rPr>
          <w:rFonts w:cs="Times New Roman"/>
          <w:sz w:val="19"/>
        </w:rPr>
        <w:t>IV. Cross-Cutting Accessibility, Costs, Testing, and Implementation</w:t>
      </w:r>
      <w:r>
        <w:rPr>
          <w:rFonts w:cs="Times New Roman"/>
          <w:sz w:val="19"/>
        </w:rPr>
        <w:tab/>
        <w:t>17</w:t>
      </w:r>
    </w:p>
    <w:p w14:paraId="3911415E" w14:textId="77777777" w:rsidR="003C7570" w:rsidRDefault="00000000">
      <w:pPr>
        <w:tabs>
          <w:tab w:val="right" w:leader="dot" w:pos="9000"/>
        </w:tabs>
        <w:spacing w:after="20" w:line="240" w:lineRule="auto"/>
        <w:ind w:left="360"/>
      </w:pPr>
      <w:r>
        <w:rPr>
          <w:rFonts w:cs="Times New Roman"/>
          <w:sz w:val="19"/>
        </w:rPr>
        <w:t>A. Accessibility Should Be Designed and Budgeted from the Outset</w:t>
      </w:r>
      <w:r>
        <w:rPr>
          <w:rFonts w:cs="Times New Roman"/>
          <w:sz w:val="19"/>
        </w:rPr>
        <w:tab/>
        <w:t>17</w:t>
      </w:r>
    </w:p>
    <w:p w14:paraId="66058258" w14:textId="77777777" w:rsidR="003C7570" w:rsidRDefault="00000000">
      <w:pPr>
        <w:tabs>
          <w:tab w:val="right" w:leader="dot" w:pos="9000"/>
        </w:tabs>
        <w:spacing w:after="20" w:line="240" w:lineRule="auto"/>
        <w:ind w:left="360"/>
      </w:pPr>
      <w:r>
        <w:rPr>
          <w:rFonts w:cs="Times New Roman"/>
          <w:sz w:val="19"/>
        </w:rPr>
        <w:t>B. Cross-Disability Testing and Accessibility Validation Should Continue Through Implementation</w:t>
      </w:r>
      <w:r>
        <w:rPr>
          <w:rFonts w:cs="Times New Roman"/>
          <w:sz w:val="19"/>
        </w:rPr>
        <w:tab/>
        <w:t>17</w:t>
      </w:r>
    </w:p>
    <w:p w14:paraId="7C6669F1" w14:textId="77777777" w:rsidR="003C7570" w:rsidRDefault="00000000">
      <w:pPr>
        <w:tabs>
          <w:tab w:val="right" w:leader="dot" w:pos="9000"/>
        </w:tabs>
        <w:spacing w:after="20" w:line="240" w:lineRule="auto"/>
        <w:ind w:left="360"/>
      </w:pPr>
      <w:r>
        <w:rPr>
          <w:rFonts w:cs="Times New Roman"/>
          <w:sz w:val="19"/>
        </w:rPr>
        <w:t>C. Implementation Schedules Should Preserve Accessibility Continuity</w:t>
      </w:r>
      <w:r>
        <w:rPr>
          <w:rFonts w:cs="Times New Roman"/>
          <w:sz w:val="19"/>
        </w:rPr>
        <w:tab/>
        <w:t>18</w:t>
      </w:r>
    </w:p>
    <w:p w14:paraId="7FFB4C0A" w14:textId="77777777" w:rsidR="003C7570" w:rsidRDefault="00000000">
      <w:pPr>
        <w:tabs>
          <w:tab w:val="right" w:leader="dot" w:pos="9000"/>
        </w:tabs>
        <w:spacing w:after="20" w:line="240" w:lineRule="auto"/>
        <w:ind w:left="360"/>
      </w:pPr>
      <w:r>
        <w:rPr>
          <w:rFonts w:cs="Times New Roman"/>
          <w:sz w:val="19"/>
        </w:rPr>
        <w:t>D. Compliance Periods Should Follow the Implementation Record</w:t>
      </w:r>
      <w:r>
        <w:rPr>
          <w:rFonts w:cs="Times New Roman"/>
          <w:sz w:val="19"/>
        </w:rPr>
        <w:tab/>
        <w:t>18</w:t>
      </w:r>
    </w:p>
    <w:p w14:paraId="66A127D2" w14:textId="77777777" w:rsidR="003C7570" w:rsidRDefault="00000000">
      <w:pPr>
        <w:tabs>
          <w:tab w:val="right" w:leader="dot" w:pos="9360"/>
        </w:tabs>
        <w:spacing w:after="20" w:line="240" w:lineRule="auto"/>
      </w:pPr>
      <w:r>
        <w:rPr>
          <w:rFonts w:cs="Times New Roman"/>
          <w:sz w:val="19"/>
        </w:rPr>
        <w:t>V. Conclusion</w:t>
      </w:r>
      <w:r>
        <w:rPr>
          <w:rFonts w:cs="Times New Roman"/>
          <w:sz w:val="19"/>
        </w:rPr>
        <w:tab/>
        <w:t>19</w:t>
      </w:r>
    </w:p>
    <w:p w14:paraId="4F819DCC" w14:textId="77777777" w:rsidR="003C7570" w:rsidRDefault="00000000">
      <w:pPr>
        <w:pStyle w:val="Heading1"/>
        <w:pageBreakBefore/>
        <w:spacing w:before="120" w:after="240" w:line="240" w:lineRule="auto"/>
        <w:jc w:val="center"/>
      </w:pPr>
      <w:r>
        <w:rPr>
          <w:rFonts w:ascii="Times New Roman" w:eastAsia="Times New Roman" w:hAnsi="Times New Roman" w:cs="Times New Roman"/>
        </w:rPr>
        <w:lastRenderedPageBreak/>
        <w:t>Preface</w:t>
      </w:r>
    </w:p>
    <w:p w14:paraId="3A8F7446" w14:textId="77777777" w:rsidR="003C7570" w:rsidRDefault="00000000">
      <w:pPr>
        <w:pStyle w:val="BodyText"/>
        <w:ind w:firstLine="720"/>
      </w:pPr>
      <w:r>
        <w:t>The American Council of the Blind (ACB), American Foundation for the Blind (AFB), and Bridge Multimedia Corporation (Bridge) submit these Recommendations in response to the Federal Communications Commission’s Further Notice of Proposed Rulemaking in Modernization of the Nation’s Alerting Systems, FCC 26-38. The Further Notice seeks comment on modernization of the Emergency Alert System (EAS) and Wireless Emergency Alerts (WEA), including message authentication, alert reliability, geotargeting, standardized symbols, earthquake-alert presentation, software-based EAS implementation, retirement of the 90-character WEA requirement, and related implementation and compliance questions.</w:t>
      </w:r>
    </w:p>
    <w:p w14:paraId="2C6C811D" w14:textId="77777777" w:rsidR="003C7570" w:rsidRDefault="00000000">
      <w:pPr>
        <w:pStyle w:val="BodyText"/>
        <w:ind w:firstLine="720"/>
      </w:pPr>
      <w:r>
        <w:t>These Recommendations address those proposals through a focused accessibility lens. They do not prescribe technical architectures where the record does not yet support a particular engineering solution. Rather, they identify functional accessibility outcomes that should be preserved or improved as alerting systems evolve: dependable receipt of emergency information, comprehension under time pressure, interoperability with assistive technology, equivalent access across supported presentation methods, meaningful geographic information, user control, and continuity of accessibility through implementation and transition.</w:t>
      </w:r>
    </w:p>
    <w:p w14:paraId="59A20DA6" w14:textId="77777777" w:rsidR="003C7570" w:rsidRDefault="00000000">
      <w:pPr>
        <w:pStyle w:val="BodyText"/>
        <w:ind w:firstLine="720"/>
      </w:pPr>
      <w:r>
        <w:t>ACB, AFB, and Bridge also recognize the complementary work of organizations representing Deaf and hard-of-hearing communities that are submitting parallel recommendations in this proceeding. Where the respective records establish genuine common ground, these Recommendations identify that alignment while preserving the distinct expertise and policy positions reflected in each filing. The objective is a coordinated cross-disability record that assists the Commission in evaluating modernization not only by what alerting technologies can do, but by whether people with disabilities can independently and dependably receive, understand, and act on life-safety information.</w:t>
      </w:r>
    </w:p>
    <w:p w14:paraId="38F28A86" w14:textId="77777777" w:rsidR="001A1B2A" w:rsidRDefault="00000000">
      <w:pPr>
        <w:pStyle w:val="Heading1"/>
        <w:pageBreakBefore/>
        <w:spacing w:before="120" w:after="240" w:line="240" w:lineRule="auto"/>
        <w:jc w:val="center"/>
      </w:pPr>
      <w:bookmarkStart w:id="0" w:name="sec_intro"/>
      <w:r>
        <w:rPr>
          <w:rFonts w:ascii="Times New Roman" w:eastAsia="Times New Roman" w:hAnsi="Times New Roman" w:cs="Times New Roman"/>
        </w:rPr>
        <w:lastRenderedPageBreak/>
        <w:t>I. Introduction</w:t>
      </w:r>
      <w:bookmarkEnd w:id="0"/>
    </w:p>
    <w:p w14:paraId="4BB8FBC3" w14:textId="77777777" w:rsidR="001A1B2A" w:rsidRPr="004F5153" w:rsidRDefault="00000000">
      <w:pPr>
        <w:pStyle w:val="BodyText"/>
        <w:ind w:firstLine="720"/>
        <w:rPr>
          <w:strike/>
          <w:color w:val="C00000"/>
        </w:rPr>
      </w:pPr>
      <w:r>
        <w:t xml:space="preserve">The American Council of the Blind (ACB), American Foundation for the Blind (AFB), and Bridge Multimedia (Bridge) submit these Recommendations in response to the Commission’s continuing work to modernize the Emergency Alert System (EAS) and Wireless Emergency Alerts (WEA). Emergency alerts are especially consequential for people with disabilities because timely access is not enough: the information must also be understandable, independently usable, and available through the accessibility pathways on which recipients rely. As the nation’s alerting systems evolve, accessibility should be incorporated into that modernization from the outset rather than addressed after systems, standards, and implementation choices are already established. </w:t>
      </w:r>
    </w:p>
    <w:p w14:paraId="129F53D1" w14:textId="77777777" w:rsidR="001A1B2A" w:rsidRPr="00265CA4" w:rsidRDefault="00000000">
      <w:pPr>
        <w:pStyle w:val="BodyText"/>
        <w:ind w:firstLine="720"/>
        <w:rPr>
          <w:strike/>
          <w:color w:val="C00000"/>
        </w:rPr>
      </w:pPr>
      <w:r>
        <w:t xml:space="preserve">The Commission has before it a broad range of technical and policy questions. </w:t>
      </w:r>
      <w:r w:rsidR="00041F6A">
        <w:t>T</w:t>
      </w:r>
      <w:r>
        <w:t xml:space="preserve">hese Recommendations focus on the accessibility outcomes that modernization should preserve or improve: reliable receipt of valid emergency information; comprehension under time pressure; interoperability with assistive technology; meaningful geographic information; equivalent access across supported presentation methods; and the ability to determine what has happened and what action is required. </w:t>
      </w:r>
    </w:p>
    <w:p w14:paraId="055F2297" w14:textId="77777777" w:rsidR="001A1B2A" w:rsidRDefault="00000000">
      <w:pPr>
        <w:pStyle w:val="BodyText"/>
        <w:ind w:firstLine="720"/>
      </w:pPr>
      <w:r>
        <w:t>We also recognize and appreciate the work of our colleagues representing Deaf and hard-of-hearing communities, whose parallel recommendations bring important and complementary expertise to the Commission’s record. The recommendations are being developed separately, but the accessibility objectives are not isolated from one another. Where the existing record establishes genuine common ground, these Recommendations acknowledge it while preserving the distinct perspectives each filing contributes. The governing approach is coordination without unnecessary duplication, with ACB, AFB, and Bridge retaining responsibility for the recommendations presented here.</w:t>
      </w:r>
    </w:p>
    <w:p w14:paraId="2DBEAE08" w14:textId="77777777" w:rsidR="001A1B2A" w:rsidRDefault="00000000">
      <w:pPr>
        <w:pStyle w:val="BodyText"/>
        <w:ind w:firstLine="720"/>
      </w:pPr>
      <w:r>
        <w:lastRenderedPageBreak/>
        <w:t>The central principle is straightforward: modernization should strengthen emergency alerting without creating new accessibility barriers or carrying old ones forward. The Commission should pursue systems that are more secure, reliable, precise, and capable while ensuring that people with disabilities can receive, understand, revisit where necessary, and act on life-safety information independently and dependably.</w:t>
      </w:r>
      <w:r>
        <w:rPr>
          <w:vertAlign w:val="superscript"/>
        </w:rPr>
        <w:footnoteReference w:id="1"/>
      </w:r>
    </w:p>
    <w:p w14:paraId="07274512" w14:textId="77777777" w:rsidR="007775AE" w:rsidRDefault="007775AE">
      <w:pPr>
        <w:pStyle w:val="BodyText"/>
        <w:ind w:firstLine="720"/>
      </w:pPr>
    </w:p>
    <w:p w14:paraId="0891870E" w14:textId="77777777" w:rsidR="001A1B2A" w:rsidRDefault="00000000">
      <w:pPr>
        <w:pStyle w:val="Heading1"/>
        <w:spacing w:before="120" w:after="240" w:line="240" w:lineRule="auto"/>
        <w:jc w:val="center"/>
      </w:pPr>
      <w:bookmarkStart w:id="1" w:name="sec_summary"/>
      <w:r>
        <w:rPr>
          <w:rFonts w:ascii="Times New Roman" w:eastAsia="Times New Roman" w:hAnsi="Times New Roman" w:cs="Times New Roman"/>
        </w:rPr>
        <w:t>II. Summary of Recommendations</w:t>
      </w:r>
      <w:bookmarkEnd w:id="1"/>
    </w:p>
    <w:p w14:paraId="51F6CA73" w14:textId="77777777" w:rsidR="001A1B2A" w:rsidRDefault="00000000">
      <w:pPr>
        <w:pStyle w:val="BodyText"/>
        <w:ind w:firstLine="720"/>
      </w:pPr>
      <w:r>
        <w:t>ACB, AFB, and Bridge recommend that the Commission advance modernization of EAS and WEA while treating accessibility as an integral measure of whether emergency information is successfully delivered and usable.</w:t>
      </w:r>
    </w:p>
    <w:p w14:paraId="03C1779F" w14:textId="77777777" w:rsidR="001A1B2A" w:rsidRDefault="00000000">
      <w:pPr>
        <w:pStyle w:val="ListNumber"/>
        <w:ind w:left="720"/>
      </w:pPr>
      <w:r>
        <w:rPr>
          <w:b/>
        </w:rPr>
        <w:t xml:space="preserve">Preserve accessibility as adopted cybersecurity measures are implemented. </w:t>
      </w:r>
      <w:r>
        <w:t>The Commission’s cybersecurity actions should strengthen system integrity without introducing avoidable barriers to accessible emergency information or presentation.</w:t>
      </w:r>
    </w:p>
    <w:p w14:paraId="3016BA12" w14:textId="77777777" w:rsidR="001A1B2A" w:rsidRDefault="00000000">
      <w:pPr>
        <w:pStyle w:val="ListNumber"/>
        <w:ind w:left="720"/>
      </w:pPr>
      <w:r>
        <w:rPr>
          <w:b/>
        </w:rPr>
        <w:t xml:space="preserve">Ensure EAS message authentication preserves timely, accessible presentation. </w:t>
      </w:r>
      <w:r>
        <w:t xml:space="preserve">Stronger authentication should not materially delay valid alerts, cause them to be rejected, or strip or degrade accessibility content and related metadata </w:t>
      </w:r>
      <w:r w:rsidR="00A45675">
        <w:t xml:space="preserve">(when present) </w:t>
      </w:r>
      <w:r>
        <w:t>as messages move through authentication, rebroadcast, conversion, or fallback paths.</w:t>
      </w:r>
    </w:p>
    <w:p w14:paraId="72ED1DED" w14:textId="77777777" w:rsidR="001A1B2A" w:rsidRDefault="00000000">
      <w:pPr>
        <w:pStyle w:val="ListNumber"/>
        <w:ind w:left="720"/>
      </w:pPr>
      <w:r>
        <w:rPr>
          <w:b/>
        </w:rPr>
        <w:t xml:space="preserve">Improve WEA reliability without creating duplicate confusion. </w:t>
      </w:r>
      <w:r>
        <w:t xml:space="preserve">Retransmission should help reach late-arriving or initially missed recipients while allowing users to distinguish initial alerts, unchanged repeats, material updates, cancellations, and </w:t>
      </w:r>
      <w:r>
        <w:lastRenderedPageBreak/>
        <w:t>expirations. Participating Commercial Mobile Service Providers should also maintain an accessible history of active and recent alerts.</w:t>
      </w:r>
    </w:p>
    <w:p w14:paraId="0DA201B1" w14:textId="77777777" w:rsidR="001A1B2A" w:rsidRDefault="00000000">
      <w:pPr>
        <w:pStyle w:val="ListNumber"/>
        <w:ind w:left="720"/>
      </w:pPr>
      <w:r>
        <w:rPr>
          <w:b/>
        </w:rPr>
        <w:t xml:space="preserve">Treat geotargeting as both a delivery and comprehension requirement. </w:t>
      </w:r>
      <w:r>
        <w:t>Greater geographic precision should be accompanied by location information people can recognize and understand quickly, with equivalent geographic meaning across accessible presentation pathways and appropriate attention to overshoot, undershoot, user control, and privacy.</w:t>
      </w:r>
    </w:p>
    <w:p w14:paraId="1B2788B1" w14:textId="77777777" w:rsidR="001A1B2A" w:rsidRPr="00444516" w:rsidRDefault="00000000">
      <w:pPr>
        <w:pStyle w:val="ListNumber"/>
        <w:ind w:left="720"/>
      </w:pPr>
      <w:r w:rsidRPr="00444516">
        <w:rPr>
          <w:b/>
        </w:rPr>
        <w:t>Ensure symbols supplement rather than replace complete accessible emergency information</w:t>
      </w:r>
      <w:r w:rsidR="00444516" w:rsidRPr="00444516">
        <w:rPr>
          <w:b/>
        </w:rPr>
        <w:t>.</w:t>
      </w:r>
      <w:r w:rsidRPr="00444516">
        <w:rPr>
          <w:b/>
        </w:rPr>
        <w:t xml:space="preserve"> </w:t>
      </w:r>
      <w:r w:rsidR="00D4245A" w:rsidRPr="00444516">
        <w:t>Symbols should not obscure other accessibility information</w:t>
      </w:r>
      <w:r w:rsidR="00260576">
        <w:t>.</w:t>
      </w:r>
      <w:r w:rsidR="00D4245A" w:rsidRPr="00444516">
        <w:t xml:space="preserve"> For screen-reader users, s</w:t>
      </w:r>
      <w:r w:rsidRPr="00444516">
        <w:t xml:space="preserve">tandardized symbols should </w:t>
      </w:r>
      <w:r w:rsidR="00A45675" w:rsidRPr="00444516">
        <w:t xml:space="preserve">be marked as decorative </w:t>
      </w:r>
      <w:r w:rsidR="00D4245A" w:rsidRPr="00444516">
        <w:t xml:space="preserve">when the alert already conveys the symbol’s meaning. Symbols </w:t>
      </w:r>
      <w:r w:rsidR="00444516" w:rsidRPr="00444516">
        <w:t>should</w:t>
      </w:r>
      <w:r w:rsidR="00D4245A" w:rsidRPr="00444516">
        <w:t xml:space="preserve"> be developed and implemented through early, iterative cross-disability testing and accessible public education.</w:t>
      </w:r>
    </w:p>
    <w:p w14:paraId="56B3BA47" w14:textId="77777777" w:rsidR="001A1B2A" w:rsidRDefault="00000000">
      <w:pPr>
        <w:pStyle w:val="ListNumber"/>
        <w:ind w:left="720"/>
      </w:pPr>
      <w:r>
        <w:rPr>
          <w:b/>
        </w:rPr>
        <w:t xml:space="preserve">Make earthquake alerts rapidly recognizable without competing with established accessibility pathways. </w:t>
      </w:r>
      <w:r>
        <w:t xml:space="preserve">Earthquake alerting should support user-controlled accessibility settings, intelligible and </w:t>
      </w:r>
      <w:proofErr w:type="spellStart"/>
      <w:r>
        <w:t>replayable</w:t>
      </w:r>
      <w:proofErr w:type="spellEnd"/>
      <w:r>
        <w:t xml:space="preserve"> text-to-speech (TTS) where used, immediate compatibility with active screen readers, effective visual and vibration presentation, usable DeafBlind pathways, and meaningful geographic and protective information.</w:t>
      </w:r>
    </w:p>
    <w:p w14:paraId="47FE16AD" w14:textId="77777777" w:rsidR="001A1B2A" w:rsidRDefault="00000000">
      <w:pPr>
        <w:pStyle w:val="ListNumber"/>
        <w:ind w:left="720"/>
      </w:pPr>
      <w:r>
        <w:rPr>
          <w:b/>
        </w:rPr>
        <w:t xml:space="preserve">Preserve accessibility through software-based EAS updates, failover, and recovery. </w:t>
      </w:r>
      <w:r>
        <w:t>Accessibility and assistive-technology interoperability should be included in validation and regression testing, existing accessibility settings should persist through updates wherever possible, and backup, failover, repair, and recovery paths should preserve accessible presentation—not merely technical transmission.</w:t>
      </w:r>
    </w:p>
    <w:p w14:paraId="79B8BF5D" w14:textId="77777777" w:rsidR="001A1B2A" w:rsidRPr="00444516" w:rsidRDefault="00000000">
      <w:pPr>
        <w:pStyle w:val="ListNumber"/>
        <w:ind w:left="720"/>
      </w:pPr>
      <w:r w:rsidRPr="00444516">
        <w:rPr>
          <w:b/>
        </w:rPr>
        <w:lastRenderedPageBreak/>
        <w:t xml:space="preserve">Use the transition from 90- to 360-character WEA messages to improve accessible message design. </w:t>
      </w:r>
      <w:r w:rsidR="00A45675" w:rsidRPr="00444516">
        <w:t>Alert originators</w:t>
      </w:r>
      <w:r w:rsidRPr="00444516">
        <w:t xml:space="preserve"> should </w:t>
      </w:r>
      <w:r w:rsidR="009D324D" w:rsidRPr="00444516">
        <w:t xml:space="preserve">(a) </w:t>
      </w:r>
      <w:r w:rsidRPr="00444516">
        <w:t xml:space="preserve">favor concise, critical-information-first structure; </w:t>
      </w:r>
      <w:r w:rsidR="009D324D" w:rsidRPr="00444516">
        <w:t xml:space="preserve">(b) </w:t>
      </w:r>
      <w:r w:rsidRPr="00444516">
        <w:t xml:space="preserve">keep core life-safety information in the alert itself when reasonably possible; </w:t>
      </w:r>
      <w:r w:rsidR="009D324D" w:rsidRPr="00444516">
        <w:t xml:space="preserve">and (c) </w:t>
      </w:r>
      <w:r w:rsidRPr="00444516">
        <w:t>use plain language</w:t>
      </w:r>
      <w:r w:rsidR="009D324D" w:rsidRPr="00444516">
        <w:t>. T</w:t>
      </w:r>
      <w:r w:rsidR="00A45675" w:rsidRPr="00444516">
        <w:t xml:space="preserve">he </w:t>
      </w:r>
      <w:r w:rsidR="0048235B" w:rsidRPr="00444516">
        <w:t>C</w:t>
      </w:r>
      <w:r w:rsidR="00A45675" w:rsidRPr="00444516">
        <w:t xml:space="preserve">ommission should </w:t>
      </w:r>
      <w:r w:rsidRPr="00444516">
        <w:t xml:space="preserve">test actual device presentation across disability groups and explore </w:t>
      </w:r>
      <w:r w:rsidR="00444516">
        <w:t xml:space="preserve">standard or </w:t>
      </w:r>
      <w:r w:rsidRPr="00444516">
        <w:t>machine-readable elements that can improve accessible presentation without reducing the completeness of the human-readable message.</w:t>
      </w:r>
    </w:p>
    <w:p w14:paraId="3F924ECB" w14:textId="77777777" w:rsidR="001A1B2A" w:rsidRDefault="00000000">
      <w:pPr>
        <w:pStyle w:val="Heading1"/>
        <w:spacing w:before="120" w:after="240" w:line="240" w:lineRule="auto"/>
        <w:jc w:val="center"/>
      </w:pPr>
      <w:bookmarkStart w:id="2" w:name="sec_recs"/>
      <w:r>
        <w:rPr>
          <w:rFonts w:ascii="Times New Roman" w:eastAsia="Times New Roman" w:hAnsi="Times New Roman" w:cs="Times New Roman"/>
        </w:rPr>
        <w:t>III. Recommendations</w:t>
      </w:r>
      <w:bookmarkEnd w:id="2"/>
    </w:p>
    <w:p w14:paraId="6AE58CE6" w14:textId="77777777" w:rsidR="001A1B2A" w:rsidRDefault="00000000">
      <w:pPr>
        <w:pStyle w:val="Heading2"/>
        <w:spacing w:before="160" w:after="80" w:line="240" w:lineRule="auto"/>
      </w:pPr>
      <w:bookmarkStart w:id="3" w:name="topic_1"/>
      <w:r>
        <w:rPr>
          <w:rFonts w:ascii="Times New Roman" w:eastAsia="Times New Roman" w:hAnsi="Times New Roman" w:cs="Times New Roman"/>
        </w:rPr>
        <w:t>Topic 1 — The Commission Should Preserve Accessible Performance as It Implements Adopted Cybersecurity Measures</w:t>
      </w:r>
      <w:bookmarkEnd w:id="3"/>
    </w:p>
    <w:p w14:paraId="035B3484" w14:textId="77777777" w:rsidR="001A1B2A" w:rsidRDefault="00000000">
      <w:pPr>
        <w:pStyle w:val="BodyText"/>
        <w:ind w:firstLine="720"/>
      </w:pPr>
      <w:r>
        <w:t xml:space="preserve">ACB, AFB, and Bridge recognize and appreciate the substantial work by the Commission, </w:t>
      </w:r>
      <w:r w:rsidR="009D324D" w:rsidRPr="009D324D">
        <w:t>Federal Emergency Management Agency (FEMA)</w:t>
      </w:r>
      <w:r w:rsidRPr="009D324D">
        <w:t>, industry</w:t>
      </w:r>
      <w:r>
        <w:t>, public-safety stakeholders, accessibility organizations, and others that has brought modernization of the nation’s alerting systems to this point. We support the Commission’s adopted cybersecurity actions and its emphasis on secure, reliable emergency communications.</w:t>
      </w:r>
      <w:r>
        <w:rPr>
          <w:vertAlign w:val="superscript"/>
        </w:rPr>
        <w:footnoteReference w:id="2"/>
      </w:r>
    </w:p>
    <w:p w14:paraId="5CFA613A" w14:textId="77777777" w:rsidR="001A1B2A" w:rsidRDefault="00000000">
      <w:pPr>
        <w:pStyle w:val="BodyText"/>
        <w:ind w:firstLine="720"/>
      </w:pPr>
      <w:r>
        <w:t>Our accessibility recommendation here is deliberately narrow. As the adopted cybersecurity measures are implemented, they should preserve dependable access to valid emergency information for people with disabilities. Security protections should not introduce avoidable barriers to the accessibility content, functionality, or presentation on which recipients rely during an emergency.</w:t>
      </w:r>
    </w:p>
    <w:p w14:paraId="0C70CD88" w14:textId="77777777" w:rsidR="001A1B2A" w:rsidRDefault="00000000">
      <w:pPr>
        <w:pStyle w:val="BodyText"/>
        <w:ind w:firstLine="720"/>
      </w:pPr>
      <w:r>
        <w:t xml:space="preserve">The Commission can strengthen both security and accessibility by treating dependable accessible delivery as part of alert-system integrity itself: modernization should make emergency </w:t>
      </w:r>
      <w:r>
        <w:lastRenderedPageBreak/>
        <w:t>communications more secure and reliable while preserving the ability of people with disabilities to receive, understand, and act on them.</w:t>
      </w:r>
    </w:p>
    <w:p w14:paraId="5E899D9E" w14:textId="77777777" w:rsidR="001A1B2A" w:rsidRDefault="00000000">
      <w:pPr>
        <w:pStyle w:val="Heading2"/>
        <w:spacing w:before="160" w:after="80" w:line="240" w:lineRule="auto"/>
      </w:pPr>
      <w:bookmarkStart w:id="4" w:name="topic_2"/>
      <w:r>
        <w:rPr>
          <w:rFonts w:ascii="Times New Roman" w:eastAsia="Times New Roman" w:hAnsi="Times New Roman" w:cs="Times New Roman"/>
        </w:rPr>
        <w:t>Topic 2 — EAS Message Authentication Should Preserve Timely, Accessible Presentation</w:t>
      </w:r>
      <w:bookmarkEnd w:id="4"/>
    </w:p>
    <w:p w14:paraId="60708D9D" w14:textId="77777777" w:rsidR="001A1B2A" w:rsidRDefault="00000000">
      <w:pPr>
        <w:pStyle w:val="BodyText"/>
        <w:ind w:firstLine="720"/>
      </w:pPr>
      <w:r>
        <w:t>The Commission should support stronger Emergency Alert System (EAS) message authentication, provided that implementation does not materially delay valid alerts, cause valid alerts to be rejected, or impair timely accessible presentation. Authentication can strengthen confidence that an alert is legitimate, but the security function should not create a new barrier to receiving or using a valid life-safety message.</w:t>
      </w:r>
      <w:r>
        <w:rPr>
          <w:vertAlign w:val="superscript"/>
        </w:rPr>
        <w:footnoteReference w:id="3"/>
      </w:r>
    </w:p>
    <w:p w14:paraId="58F5AA5B" w14:textId="77777777" w:rsidR="001A1B2A" w:rsidRDefault="00000000">
      <w:pPr>
        <w:pStyle w:val="BodyText"/>
        <w:ind w:firstLine="720"/>
      </w:pPr>
      <w:r>
        <w:t xml:space="preserve">Accessibility content and related metadata </w:t>
      </w:r>
      <w:r w:rsidR="00A45675">
        <w:t xml:space="preserve">(if present) </w:t>
      </w:r>
      <w:r>
        <w:t>should remain intact and usable as alerts pass through authentication, rebroadcast, conversion, and fallback paths. The Commission need not prescribe a particular cryptographic method or key-management architecture to protect that outcome. The accessibility condition is functional: authentication should not strip, suppress, materially delay, or otherwise degrade information or functionality needed for accessible presentation, including when systems rely on fallback or conversion paths during an emergency.</w:t>
      </w:r>
    </w:p>
    <w:p w14:paraId="63955B98" w14:textId="77777777" w:rsidR="001A1B2A" w:rsidRDefault="00000000">
      <w:pPr>
        <w:pStyle w:val="BodyText"/>
        <w:ind w:firstLine="720"/>
      </w:pPr>
      <w:r>
        <w:t>The same continuity principle should apply as Advanced Television Systems Committee (ATSC) 3.0 implementation advances. ATSC 3.0 may support enhanced alerting and presentation capabilities, but standards capability does not itself establish how a broadcaster, receiver, device, or downstream delivery path will implement those capabilities. The Commission should therefore preserve accessibility through authentication and related transitions without assuming that a particular technical architecture, standing alone, guarantees the consumer access outcome.</w:t>
      </w:r>
      <w:r>
        <w:rPr>
          <w:vertAlign w:val="superscript"/>
        </w:rPr>
        <w:footnoteReference w:id="4"/>
      </w:r>
    </w:p>
    <w:p w14:paraId="73E7BDB1" w14:textId="77777777" w:rsidR="001A1B2A" w:rsidRDefault="00000000">
      <w:pPr>
        <w:pStyle w:val="Heading2"/>
        <w:spacing w:before="160" w:after="80" w:line="240" w:lineRule="auto"/>
      </w:pPr>
      <w:bookmarkStart w:id="5" w:name="topic_3"/>
      <w:r>
        <w:rPr>
          <w:rFonts w:ascii="Times New Roman" w:eastAsia="Times New Roman" w:hAnsi="Times New Roman" w:cs="Times New Roman"/>
        </w:rPr>
        <w:lastRenderedPageBreak/>
        <w:t>Topic 3 — Reliability Measures Should Reach Missed Recipients Without Creating Duplicate Confusion</w:t>
      </w:r>
      <w:bookmarkEnd w:id="5"/>
    </w:p>
    <w:p w14:paraId="1C652996" w14:textId="77777777" w:rsidR="001A1B2A" w:rsidRDefault="00000000">
      <w:pPr>
        <w:pStyle w:val="BodyText"/>
        <w:ind w:firstLine="720"/>
      </w:pPr>
      <w:r>
        <w:t>Wireless Emergency Alerts (WEA) should reach people who enter an affected area after the initial transmission or who miss the first alert, while avoiding unnecessary duplicate presentation and confusion. The Commission should distinguish true duplication from continued delivery that serves a public-safety purpose.</w:t>
      </w:r>
      <w:r>
        <w:rPr>
          <w:vertAlign w:val="superscript"/>
        </w:rPr>
        <w:footnoteReference w:id="5"/>
      </w:r>
    </w:p>
    <w:p w14:paraId="6FF923C0" w14:textId="77777777" w:rsidR="001A1B2A" w:rsidRDefault="00000000">
      <w:pPr>
        <w:pStyle w:val="BodyText"/>
        <w:ind w:firstLine="720"/>
      </w:pPr>
      <w:r>
        <w:t>WEA should remain compatible with operating-system notifications and active assistive technologies. Accessible presentation should distinguish an initial alert, an unchanged repeat, a material update, a cancellation, and an expired alert. That distinction matters because a recipient using a screen reader, braille display, magnification, or another accessibility pathway should not have to infer from repeated presentation whether the emergency itself has changed.</w:t>
      </w:r>
    </w:p>
    <w:p w14:paraId="43DD68CC" w14:textId="77777777" w:rsidR="001A1B2A" w:rsidRDefault="00000000">
      <w:pPr>
        <w:pStyle w:val="BodyText"/>
        <w:ind w:firstLine="720"/>
      </w:pPr>
      <w:r>
        <w:t>We also join our colleagues representing Deaf and hard-of-hearing communities in supporting the basic balance between continued delivery of active alerts and reduction of needless repetition. Retransmission should improve the likelihood that late-arriving or initially missed recipients receive an active alert without creating unnecessary duplicate confusion. The Commission need not prescribe identifier-generation, hashing, or other network mechanics to establish that outcome.</w:t>
      </w:r>
    </w:p>
    <w:p w14:paraId="200A3141" w14:textId="77777777" w:rsidR="001A1B2A" w:rsidRDefault="00000000">
      <w:pPr>
        <w:pStyle w:val="BodyText"/>
        <w:ind w:firstLine="720"/>
      </w:pPr>
      <w:r>
        <w:t>The Commission should also require Participating Commercial Mobile Service Providers to maintain an accessible history of active and recent WEA messages. Users should be able to revisit an alert, determine its current status, and identify updates or cancellations without depending on repeated intrusive presentation. Testing should focus specifically on whether status distinctions and alert-history functions are understandable and operable through commonly used accessibility pathways.</w:t>
      </w:r>
    </w:p>
    <w:p w14:paraId="4210479B" w14:textId="77777777" w:rsidR="001A1B2A" w:rsidRDefault="00000000">
      <w:pPr>
        <w:pStyle w:val="BodyText"/>
        <w:ind w:firstLine="720"/>
      </w:pPr>
      <w:r>
        <w:lastRenderedPageBreak/>
        <w:t>Taken together, these measures can improve reliability while making clear not only that an alert has arrived, but what it means now.</w:t>
      </w:r>
    </w:p>
    <w:p w14:paraId="0597D99B" w14:textId="77777777" w:rsidR="001A1B2A" w:rsidRDefault="00000000">
      <w:pPr>
        <w:pStyle w:val="Heading2"/>
        <w:spacing w:before="160" w:after="80" w:line="240" w:lineRule="auto"/>
      </w:pPr>
      <w:bookmarkStart w:id="6" w:name="topic_4"/>
      <w:r>
        <w:rPr>
          <w:rFonts w:ascii="Times New Roman" w:eastAsia="Times New Roman" w:hAnsi="Times New Roman" w:cs="Times New Roman"/>
        </w:rPr>
        <w:t>Topic 4 — Geotargeting Must Improve Both Delivery Accuracy and Geographic Comprehension</w:t>
      </w:r>
      <w:bookmarkEnd w:id="6"/>
    </w:p>
    <w:p w14:paraId="2D83D00C" w14:textId="77777777" w:rsidR="001A1B2A" w:rsidRDefault="00000000">
      <w:pPr>
        <w:pStyle w:val="BodyText"/>
        <w:ind w:firstLine="720"/>
      </w:pPr>
      <w:r>
        <w:t>The Commission should treat geographic accuracy as both a delivery requirement and a comprehension requirement. An alert is not fully effective merely because it reaches a technically correct area; recipients also need to determine quickly whether they are affected, where the danger is, and what action they should take.</w:t>
      </w:r>
      <w:r>
        <w:rPr>
          <w:vertAlign w:val="superscript"/>
        </w:rPr>
        <w:footnoteReference w:id="6"/>
      </w:r>
    </w:p>
    <w:p w14:paraId="34D133CD" w14:textId="77777777" w:rsidR="001A1B2A" w:rsidRDefault="00000000">
      <w:pPr>
        <w:pStyle w:val="BodyText"/>
        <w:ind w:firstLine="720"/>
      </w:pPr>
      <w:r>
        <w:t xml:space="preserve">Where the information is available, technical boundaries should be translated into meaningful, recognizable locations such as communities, neighborhoods, zones, roads, routes, landmarks, evacuation areas, and facilities. Critical geographic information should appear early and use a consistent structure. The objective is </w:t>
      </w:r>
      <w:r w:rsidR="00784E02">
        <w:t xml:space="preserve">that </w:t>
      </w:r>
      <w:r>
        <w:t>location information remains understandable under severe time pressure.</w:t>
      </w:r>
    </w:p>
    <w:p w14:paraId="58BD1856" w14:textId="77777777" w:rsidR="001A1B2A" w:rsidRDefault="00000000">
      <w:pPr>
        <w:pStyle w:val="BodyText"/>
        <w:ind w:firstLine="720"/>
      </w:pPr>
      <w:r>
        <w:t>Equivalent geographic meaning should also be preserved across accessible presentation methods, including audio, text, visual presentation, spoken or screen-reader output, braille, sign-language presentation where provided, and foreign-language presentation where provided. Improving precision requires attention to both overshoot and undershoot: reducing unnecessary delivery outside a danger area should not exclude people who remain at meaningful risk. Device-assisted geotargeting should likewise interoperate with accessibility settings while preserving user control and privacy.</w:t>
      </w:r>
    </w:p>
    <w:p w14:paraId="695B856A" w14:textId="77777777" w:rsidR="001A1B2A" w:rsidRDefault="00000000">
      <w:pPr>
        <w:pStyle w:val="BodyText"/>
        <w:ind w:firstLine="720"/>
      </w:pPr>
      <w:r>
        <w:t xml:space="preserve">As ATSC 3.0 implementation advances, the Commission should recognize its potential to support more localized alerting while continuing to distinguish technical capability from fielded receiver and consumer implementation. Broadcast Positioning System (BPS) is similarly worth </w:t>
      </w:r>
      <w:r>
        <w:lastRenderedPageBreak/>
        <w:t>following as an emerging terrestrial, broadcast-based positioning, navigation, and timing (PNT) capability associated with ATSC 3.0 and advanced as a complement or resilient backup to the Global Positioning System (GPS). BPS should not be characterized as a currently deployed WEA geotargeting mechanism, a replacement for smartphone GPS, or a prescribed FCC architecture; its relevance here is the future public-safety value of resilient location capability.</w:t>
      </w:r>
      <w:r>
        <w:rPr>
          <w:vertAlign w:val="superscript"/>
        </w:rPr>
        <w:footnoteReference w:id="7"/>
      </w:r>
    </w:p>
    <w:p w14:paraId="771A1C1B" w14:textId="77777777" w:rsidR="001A1B2A" w:rsidRDefault="00000000">
      <w:pPr>
        <w:pStyle w:val="BodyText"/>
        <w:ind w:firstLine="720"/>
      </w:pPr>
      <w:r>
        <w:t>Geotargeting modernization should ultimately be tested across relevant WEA and EAS presentation pathways by whether recipients can answer three questions quickly and independently: Am I affected? Where is the danger? What should I do?</w:t>
      </w:r>
    </w:p>
    <w:p w14:paraId="3FB52787" w14:textId="77777777" w:rsidR="001A1B2A" w:rsidRDefault="00000000">
      <w:pPr>
        <w:pStyle w:val="Heading2"/>
        <w:spacing w:before="160" w:after="80" w:line="240" w:lineRule="auto"/>
      </w:pPr>
      <w:bookmarkStart w:id="7" w:name="topic_5"/>
      <w:r>
        <w:rPr>
          <w:rFonts w:ascii="Times New Roman" w:eastAsia="Times New Roman" w:hAnsi="Times New Roman" w:cs="Times New Roman"/>
        </w:rPr>
        <w:t>Topic 5 — Symbols Should Supplement, Not Replace, Complete Accessible Emergency Information</w:t>
      </w:r>
      <w:bookmarkEnd w:id="7"/>
    </w:p>
    <w:p w14:paraId="23BA394A" w14:textId="77777777" w:rsidR="001A1B2A" w:rsidRDefault="00000000">
      <w:pPr>
        <w:pStyle w:val="BodyText"/>
        <w:ind w:firstLine="720"/>
      </w:pPr>
      <w:r>
        <w:t>The Commission should support standardized symbol meaning and vocabulary only within an accessibility framework in which symbols supplement, rather than replace, complete plain-language emergency information. A symbol can help identify a hazard quickly, but it cannot by itself communicate the affected location, timing, protective action, evacuation instruction, or other details a recipient may need in order to act.</w:t>
      </w:r>
      <w:r>
        <w:rPr>
          <w:vertAlign w:val="superscript"/>
        </w:rPr>
        <w:footnoteReference w:id="8"/>
      </w:r>
    </w:p>
    <w:p w14:paraId="3A349E28" w14:textId="77777777" w:rsidR="001A1B2A" w:rsidRDefault="00000000">
      <w:pPr>
        <w:pStyle w:val="BodyText"/>
        <w:ind w:firstLine="720"/>
      </w:pPr>
      <w:r>
        <w:t xml:space="preserve">Any standardized symbol should therefore have an accessible equivalent through the relevant presentation pathway. When a screen reader is active on a mobile device, </w:t>
      </w:r>
      <w:r w:rsidR="005A681C">
        <w:t xml:space="preserve">any duplicative semantic information associated with the symbol </w:t>
      </w:r>
      <w:r w:rsidR="004A1DFB">
        <w:t xml:space="preserve">should be marked as decorative </w:t>
      </w:r>
      <w:r w:rsidR="005A681C">
        <w:t xml:space="preserve">so as </w:t>
      </w:r>
      <w:r w:rsidR="004A1DFB">
        <w:t>to avoid duplication of information</w:t>
      </w:r>
      <w:r w:rsidR="005A681C">
        <w:t xml:space="preserve">; </w:t>
      </w:r>
      <w:proofErr w:type="gramStart"/>
      <w:r w:rsidR="005A681C">
        <w:t>otherwise</w:t>
      </w:r>
      <w:proofErr w:type="gramEnd"/>
      <w:r w:rsidR="005A681C">
        <w:t xml:space="preserve"> the alert and any useful, nonduplicative semantic equivalent associated with the symbol should be exposed through that existing accessibility pathway</w:t>
      </w:r>
      <w:r>
        <w:t xml:space="preserve">. The placement and presentation of symbols should not obscure essential </w:t>
      </w:r>
      <w:r>
        <w:lastRenderedPageBreak/>
        <w:t>text, captions, sign-language presentation where provided, or other accessibility information. The same design should remain usable for braille, low-vision, DeafBlind, and cognitive-access users rather than treating visual recognition as the only measure of success.</w:t>
      </w:r>
    </w:p>
    <w:p w14:paraId="0FA428F2" w14:textId="77777777" w:rsidR="001A1B2A" w:rsidRDefault="00000000">
      <w:pPr>
        <w:pStyle w:val="BodyText"/>
        <w:ind w:firstLine="720"/>
      </w:pPr>
      <w:r>
        <w:t>We share with our colleagues representing Deaf and hard-of-hearing communities the principle that symbols should supplement rather than substitute for the complete accessible emergency message, and that disability-user testing should inform any standardized system. That common ground does not require agreement on a particular symbol set, mandatory architecture, transmission method, or presentation rule.</w:t>
      </w:r>
    </w:p>
    <w:p w14:paraId="27C3792C" w14:textId="77777777" w:rsidR="001A1B2A" w:rsidRDefault="00000000">
      <w:pPr>
        <w:pStyle w:val="BodyText"/>
        <w:ind w:firstLine="720"/>
      </w:pPr>
      <w:r>
        <w:t>Early and iterative testing should examine symbol comprehension, semantic exposure through assistive technology, interference with other access features, simultaneous-alert presentation, and learnability across disability groups. During simultaneous emergencies, sequential rather than simultaneous symbol presentation may in some circumstances improve distinguishability and reduce avoidable visual or cognitive overload; that should be evaluated as a context-dependent accessibility option, not assumed as a universal rule. Accessible public education should accompany implementation so users can learn standardized meanings before an emergency occurs.</w:t>
      </w:r>
    </w:p>
    <w:p w14:paraId="110C5BBD" w14:textId="77777777" w:rsidR="001A1B2A" w:rsidRDefault="00000000">
      <w:pPr>
        <w:pStyle w:val="BodyText"/>
        <w:ind w:firstLine="720"/>
      </w:pPr>
      <w:r w:rsidRPr="00C644B8">
        <w:t xml:space="preserve">The Commission should therefore evaluate symbols as one component of a complete accessible alert: </w:t>
      </w:r>
      <w:r w:rsidR="00784E02" w:rsidRPr="00C644B8">
        <w:t xml:space="preserve">they should be </w:t>
      </w:r>
      <w:r w:rsidRPr="00C644B8">
        <w:t xml:space="preserve">recognizable, </w:t>
      </w:r>
      <w:r w:rsidR="00C644B8" w:rsidRPr="00C644B8">
        <w:t>not presented by screen readers when they duplicate information</w:t>
      </w:r>
      <w:r w:rsidRPr="00C644B8">
        <w:t>, non-obscuring, tested across disabilities, and accompanied by the information people need to understand the emergency and act.</w:t>
      </w:r>
    </w:p>
    <w:p w14:paraId="22281177" w14:textId="77777777" w:rsidR="001A1B2A" w:rsidRDefault="00000000">
      <w:pPr>
        <w:pStyle w:val="Heading2"/>
        <w:spacing w:before="160" w:after="80" w:line="240" w:lineRule="auto"/>
      </w:pPr>
      <w:bookmarkStart w:id="8" w:name="topic_6"/>
      <w:r>
        <w:rPr>
          <w:rFonts w:ascii="Times New Roman" w:eastAsia="Times New Roman" w:hAnsi="Times New Roman" w:cs="Times New Roman"/>
        </w:rPr>
        <w:t>Topic 6 — Earthquake Alerts Should Support Rapid Recognition Without Competing with Existing Accessibility Pathways</w:t>
      </w:r>
      <w:bookmarkEnd w:id="8"/>
    </w:p>
    <w:p w14:paraId="7632D7B8" w14:textId="77777777" w:rsidR="001A1B2A" w:rsidRDefault="00000000">
      <w:pPr>
        <w:pStyle w:val="BodyText"/>
        <w:ind w:firstLine="720"/>
      </w:pPr>
      <w:r>
        <w:t xml:space="preserve">Earthquake alerts present a distinctive accessibility challenge because seconds can matter. The Commission should support rapid recognition without assuming that a single </w:t>
      </w:r>
      <w:r>
        <w:lastRenderedPageBreak/>
        <w:t>automatic presentation method will work for every user. Mobile operating systems should provide an Earthquake Alerts accessibility setting that users may enable, allowing people to select behavior that fits their established device use rather than imposing one automatic-speech model on everyone.</w:t>
      </w:r>
      <w:r>
        <w:rPr>
          <w:vertAlign w:val="superscript"/>
        </w:rPr>
        <w:footnoteReference w:id="9"/>
      </w:r>
    </w:p>
    <w:p w14:paraId="178AB7B7" w14:textId="77777777" w:rsidR="001A1B2A" w:rsidRDefault="00000000">
      <w:pPr>
        <w:pStyle w:val="BodyText"/>
        <w:ind w:firstLine="720"/>
      </w:pPr>
      <w:r>
        <w:t xml:space="preserve">If system text-to-speech (TTS) is used, it should be accurate, intelligible, appropriately paced, language-aware, and easy to replay or revisit. When a screen reader is already active, the earthquake alert should be exposed immediately through that existing accessibility pathway rather than launching a competing TTS voice. Screen-reader users may already have customized voice, rate, language, braille, and interaction preferences; competing speech </w:t>
      </w:r>
      <w:r w:rsidR="00B272F5">
        <w:t xml:space="preserve">can </w:t>
      </w:r>
      <w:r w:rsidR="0079618F">
        <w:t>reduce rather</w:t>
      </w:r>
      <w:r>
        <w:t xml:space="preserve"> than improve access when information is most urgent.</w:t>
      </w:r>
    </w:p>
    <w:p w14:paraId="3FB6A359" w14:textId="77777777" w:rsidR="001A1B2A" w:rsidRDefault="00000000">
      <w:pPr>
        <w:pStyle w:val="BodyText"/>
        <w:ind w:firstLine="720"/>
      </w:pPr>
      <w:r>
        <w:t>Rapid recognition must also include effective non-auditory presentation. Devices that support vibration should provide an effective vibration cue together with equivalent visual and text information, with usable pathways for DeafBlind users. Broader haptic technologies may offer additional options, but they are supplemental or emerging and should not be assumed as a universal baseline. We share with our colleagues representing Deaf and hard-of-hearing communities the concern that an auditory enhancement cannot be the sole pathway for recognizing and acting on an earthquake alert.</w:t>
      </w:r>
    </w:p>
    <w:p w14:paraId="5CA56C31" w14:textId="77777777" w:rsidR="001A1B2A" w:rsidRDefault="00000000">
      <w:pPr>
        <w:pStyle w:val="BodyText"/>
        <w:ind w:firstLine="720"/>
      </w:pPr>
      <w:r>
        <w:t>The Commission should test any distinctive earthquake attention signal for learnability, distinguishability, sensory load, and interaction with other alert and accessibility cues, without prescribing acoustic parameters that the record does not establish. Spoken-message intelligibility and attention-signal detectability are related to rapid recognition, but they are different accessibility functions and should not be collapsed into one technical requirement.</w:t>
      </w:r>
    </w:p>
    <w:p w14:paraId="51346BFE" w14:textId="77777777" w:rsidR="001A1B2A" w:rsidRDefault="00000000">
      <w:pPr>
        <w:pStyle w:val="BodyText"/>
        <w:ind w:firstLine="720"/>
      </w:pPr>
      <w:r>
        <w:lastRenderedPageBreak/>
        <w:t>Where available, an alert should place the epicenter or another meaningful geographic reference early and move from the broader affected area toward more specific location information when useful. Because earthquake response is unusually time-sensitive, core protective information should be available in the alert itself when reasonably possible rather than requiring immediate reliance on a URL or separate data connection. Testing should address user settings, assistive-technology interaction, time-pressure comprehension, foreign-language presentation where applicable, and sensory or cognitive burden.</w:t>
      </w:r>
    </w:p>
    <w:p w14:paraId="631FC118" w14:textId="77777777" w:rsidR="001A1B2A" w:rsidRDefault="00000000">
      <w:pPr>
        <w:pStyle w:val="BodyText"/>
        <w:ind w:firstLine="720"/>
      </w:pPr>
      <w:r>
        <w:t>The Commission’s objective should be a rapid-recognition framework in which speech, active assistive technology, visual presentation, vibration, and other supported pathways reinforce rather than compete with one another, while preserving user control and equivalent access to the information needed to act.</w:t>
      </w:r>
    </w:p>
    <w:p w14:paraId="543F9D0B" w14:textId="77777777" w:rsidR="001A1B2A" w:rsidRDefault="00000000">
      <w:pPr>
        <w:pStyle w:val="Heading2"/>
        <w:spacing w:before="160" w:after="80" w:line="240" w:lineRule="auto"/>
      </w:pPr>
      <w:bookmarkStart w:id="9" w:name="topic_7"/>
      <w:r>
        <w:rPr>
          <w:rFonts w:ascii="Times New Roman" w:eastAsia="Times New Roman" w:hAnsi="Times New Roman" w:cs="Times New Roman"/>
        </w:rPr>
        <w:t>Topic 7 — Software-Based EAS Should Preserve Accessibility Through Updates, Failover, and Recovery</w:t>
      </w:r>
      <w:bookmarkEnd w:id="9"/>
    </w:p>
    <w:p w14:paraId="27789B58" w14:textId="77777777" w:rsidR="001A1B2A" w:rsidRDefault="00000000">
      <w:pPr>
        <w:pStyle w:val="BodyText"/>
        <w:ind w:firstLine="720"/>
      </w:pPr>
      <w:r>
        <w:t>The Commission should support flexibility to implement EAS capabilities through software, provided that accessible and reliable operation is preserved through updates, repairs, replacement, failover, and recovery. Software modernization should not create new points at which an alert remains technically transmissible but becomes inaccessible in presentation or operation.</w:t>
      </w:r>
      <w:r>
        <w:rPr>
          <w:vertAlign w:val="superscript"/>
        </w:rPr>
        <w:footnoteReference w:id="10"/>
      </w:r>
    </w:p>
    <w:p w14:paraId="58EC4B78" w14:textId="77777777" w:rsidR="001A1B2A" w:rsidRDefault="00000000">
      <w:pPr>
        <w:pStyle w:val="BodyText"/>
        <w:ind w:firstLine="720"/>
      </w:pPr>
      <w:r>
        <w:t xml:space="preserve">Validation and regression testing for software-based EAS and related alert-presentation capabilities should include accessibility functionality and assistive-technology interoperability, including after material software changes. Certification or reapproval processes should verify that accessibility has not regressed when software is modified. Where an alert includes a map or other graphic, the presentation should provide equivalent accessible information through an </w:t>
      </w:r>
      <w:r>
        <w:lastRenderedPageBreak/>
        <w:t xml:space="preserve">appropriate </w:t>
      </w:r>
      <w:r w:rsidR="004B4BD3" w:rsidRPr="004B4BD3">
        <w:t xml:space="preserve">audio, text, sign-language, </w:t>
      </w:r>
      <w:r w:rsidR="004B4BD3">
        <w:t>b</w:t>
      </w:r>
      <w:r w:rsidR="004B4BD3" w:rsidRPr="004B4BD3">
        <w:t>raille, tactile, or other supported pathway</w:t>
      </w:r>
      <w:r>
        <w:t>. Backup, failover, recovery, and local or offline operating paths should likewise be tested for accessible presentation, not merely successful technical transmission.</w:t>
      </w:r>
    </w:p>
    <w:p w14:paraId="7C1825E3" w14:textId="77777777" w:rsidR="001A1B2A" w:rsidRDefault="00CC175B">
      <w:pPr>
        <w:pStyle w:val="BodyText"/>
        <w:ind w:firstLine="720"/>
      </w:pPr>
      <w:r>
        <w:t xml:space="preserve">For </w:t>
      </w:r>
      <w:r w:rsidRPr="00086750">
        <w:t>alert originator</w:t>
      </w:r>
      <w:r>
        <w:t xml:space="preserve"> operator</w:t>
      </w:r>
      <w:r w:rsidRPr="00086750">
        <w:t>s</w:t>
      </w:r>
      <w:r>
        <w:t>, software updates should preserve existing accessibility settings and the usability of essential accessibility controls by default. Regression testing should verify that persistence. If an update necessarily changes an accessibility setting, control, label, or navigation path, users should receive accessible notice of the change together with a clear, usable way to restore or reconfigure the affected preference. Repair and recovery procedures should apply the same continuity principle.</w:t>
      </w:r>
    </w:p>
    <w:p w14:paraId="457279DD" w14:textId="77777777" w:rsidR="001A1B2A" w:rsidRDefault="00000000">
      <w:pPr>
        <w:pStyle w:val="BodyText"/>
        <w:ind w:firstLine="720"/>
      </w:pPr>
      <w:r>
        <w:t>The Commission should preserve technology-neutral flexibility in how these outcomes are achieved and should not prescribe server architecture, certification class, software location, repair intervals, or other engineering choices without an adequate implementation record. Where automated interpretation or generation materially affects life-safety content, human review should remain available as a safeguard until reliability is demonstrated.</w:t>
      </w:r>
    </w:p>
    <w:p w14:paraId="53B9EBA0" w14:textId="77777777" w:rsidR="001A1B2A" w:rsidRDefault="00000000">
      <w:pPr>
        <w:pStyle w:val="BodyText"/>
        <w:ind w:firstLine="720"/>
      </w:pPr>
      <w:r>
        <w:t>The governing outcome is continuity: software-based EAS should remain accessible, interoperable with assistive technology, and usable through the operational changes that software flexibility makes possible.</w:t>
      </w:r>
    </w:p>
    <w:p w14:paraId="1E9138E3" w14:textId="77777777" w:rsidR="001A1B2A" w:rsidRDefault="00000000">
      <w:pPr>
        <w:pStyle w:val="Heading2"/>
        <w:spacing w:before="160" w:after="80" w:line="240" w:lineRule="auto"/>
      </w:pPr>
      <w:bookmarkStart w:id="10" w:name="topic_8"/>
      <w:r>
        <w:rPr>
          <w:rFonts w:ascii="Times New Roman" w:eastAsia="Times New Roman" w:hAnsi="Times New Roman" w:cs="Times New Roman"/>
        </w:rPr>
        <w:t>Topic 8 — Retirement of the 90-Character Requirement Should Improve Accessible Message Design</w:t>
      </w:r>
      <w:bookmarkEnd w:id="10"/>
    </w:p>
    <w:p w14:paraId="44401530" w14:textId="77777777" w:rsidR="001A1B2A" w:rsidRDefault="00000000">
      <w:pPr>
        <w:pStyle w:val="BodyText"/>
        <w:ind w:firstLine="720"/>
      </w:pPr>
      <w:r>
        <w:t>The Commission should retire the separate 90-character WEA requirement in favor of the 360-character format, with transition safeguards that avoid access gaps for remaining legacy users or devices. We join our colleagues representing Deaf and hard-of-hearing communities in supporting the move away from the 90-character requirement and toward a coordinated 360-</w:t>
      </w:r>
      <w:r>
        <w:lastRenderedPageBreak/>
        <w:t>character transition. That common position does not require agreement on an exact transition period.</w:t>
      </w:r>
      <w:r>
        <w:rPr>
          <w:vertAlign w:val="superscript"/>
        </w:rPr>
        <w:footnoteReference w:id="11"/>
      </w:r>
    </w:p>
    <w:p w14:paraId="6979992B" w14:textId="77777777" w:rsidR="001A1B2A" w:rsidRDefault="002F0C17">
      <w:pPr>
        <w:pStyle w:val="BodyText"/>
        <w:ind w:firstLine="720"/>
      </w:pPr>
      <w:r>
        <w:t xml:space="preserve">More characters allow for more information. Three hundred sixty characters are a maximum capacity, not a target length. </w:t>
      </w:r>
      <w:r w:rsidR="00086750">
        <w:t>A</w:t>
      </w:r>
      <w:r w:rsidR="00086750" w:rsidRPr="00086750">
        <w:t>lert originators</w:t>
      </w:r>
      <w:r>
        <w:t xml:space="preserve"> should use that capacity for concise, critical-information-first design: hazard or emergency; affected location; protective action; urgency or timing; source; and then supporting detail as space and circumstances permit. The structure should help a recipient identify what is happening and what to do without working through a longer block of text simply because more space is available.</w:t>
      </w:r>
    </w:p>
    <w:p w14:paraId="78F5F271" w14:textId="77777777" w:rsidR="001A1B2A" w:rsidRDefault="00000000">
      <w:pPr>
        <w:pStyle w:val="BodyText"/>
        <w:ind w:firstLine="720"/>
      </w:pPr>
      <w:r>
        <w:t xml:space="preserve">Core life-safety information should be contained in the alert itself when reasonably possible. URLs can provide useful supplemental material, but a recipient should not have to depend on Wi-Fi, cellular data, or a separate webpage to learn the immediate protective action. That safeguard matters when emergencies disrupt </w:t>
      </w:r>
      <w:proofErr w:type="gramStart"/>
      <w:r>
        <w:t>connectivity</w:t>
      </w:r>
      <w:proofErr w:type="gramEnd"/>
      <w:r>
        <w:t xml:space="preserve"> or a user cannot readily navigate away from the alert. Plain language should be the default: avoid jargon</w:t>
      </w:r>
      <w:r w:rsidR="003C409C">
        <w:t xml:space="preserve">, </w:t>
      </w:r>
      <w:r>
        <w:t xml:space="preserve">unexplained acronyms, </w:t>
      </w:r>
      <w:r w:rsidR="003C409C">
        <w:t xml:space="preserve">and </w:t>
      </w:r>
      <w:r w:rsidR="00041F6A">
        <w:t>abbreviations</w:t>
      </w:r>
      <w:r w:rsidR="003C409C">
        <w:t>;</w:t>
      </w:r>
      <w:r w:rsidR="00086750">
        <w:t xml:space="preserve"> </w:t>
      </w:r>
      <w:r>
        <w:t>and do not bury essential information beneath secondary detail.</w:t>
      </w:r>
    </w:p>
    <w:p w14:paraId="0E62C181" w14:textId="77777777" w:rsidR="00D5100A" w:rsidRDefault="00D5100A">
      <w:pPr>
        <w:pStyle w:val="BodyText"/>
        <w:ind w:firstLine="720"/>
      </w:pPr>
      <w:r w:rsidRPr="00D5100A">
        <w:t>Before adopting new message-design practices, alert originators should review existing 360-character notifications for hierarchy, wrapping, and accessibility in actual device presentation. Message-design testing by alert originators should examine screen-reader and braille presentation, magnification and wrapping, Deaf and hard-of-hearing access, DeafBlind use, dyslexia, ADD/ADHD, language-processing differences, limited literacy, and foreign-language presentation where applicable.</w:t>
      </w:r>
    </w:p>
    <w:p w14:paraId="7DA62D6E" w14:textId="77777777" w:rsidR="001A1B2A" w:rsidRDefault="00000000">
      <w:pPr>
        <w:pStyle w:val="BodyText"/>
        <w:ind w:firstLine="720"/>
      </w:pPr>
      <w:r>
        <w:t xml:space="preserve">The Commission should also explore standardized or machine-readable elements that can support accessible device presentation without reducing the completeness or usability of the </w:t>
      </w:r>
      <w:r>
        <w:lastRenderedPageBreak/>
        <w:t>human-readable alert. Such elements should remain subject to development and testing rather than being assumed mature or suitable for mandatory implementation.</w:t>
      </w:r>
    </w:p>
    <w:p w14:paraId="6B29BE4F" w14:textId="77777777" w:rsidR="001A1B2A" w:rsidRDefault="003C409C">
      <w:pPr>
        <w:pStyle w:val="BodyText"/>
        <w:ind w:firstLine="720"/>
      </w:pPr>
      <w:r>
        <w:t>A</w:t>
      </w:r>
      <w:r w:rsidRPr="003C409C">
        <w:t xml:space="preserve">lert originators </w:t>
      </w:r>
      <w:r>
        <w:t xml:space="preserve">should use the transition to 360 characters to make emergency messages clearer, more self-contained, and more actionable. Implementation timing by the </w:t>
      </w:r>
      <w:r w:rsidR="00554022">
        <w:t>C</w:t>
      </w:r>
      <w:r>
        <w:t>ommission should be grounded in the record rather than selected arbitrarily, and the transition should preserve access for remaining legacy users while improving information hierarchy, plain-language usability, and independent access to the life-safety information people need to act.</w:t>
      </w:r>
    </w:p>
    <w:p w14:paraId="3B76C586" w14:textId="77777777" w:rsidR="001A1B2A" w:rsidRDefault="00000000">
      <w:pPr>
        <w:pStyle w:val="Heading1"/>
        <w:spacing w:before="120" w:after="240" w:line="240" w:lineRule="auto"/>
        <w:jc w:val="center"/>
      </w:pPr>
      <w:bookmarkStart w:id="11" w:name="sec_cross"/>
      <w:r>
        <w:rPr>
          <w:rFonts w:ascii="Times New Roman" w:eastAsia="Times New Roman" w:hAnsi="Times New Roman" w:cs="Times New Roman"/>
        </w:rPr>
        <w:t>IV. Cross-Cutting Accessibility, Costs, Testing, and Implementation</w:t>
      </w:r>
      <w:bookmarkEnd w:id="11"/>
    </w:p>
    <w:p w14:paraId="56848403" w14:textId="77777777" w:rsidR="001A1B2A" w:rsidRDefault="00000000">
      <w:pPr>
        <w:pStyle w:val="BodyText"/>
        <w:ind w:firstLine="720"/>
      </w:pPr>
      <w:r>
        <w:t>The recommendations above address distinct technical and policy questions, but several accessibility principles apply across the Commission’s modernization work. These principles should guide implementation without replacing the topic-specific safeguards discussed above.</w:t>
      </w:r>
    </w:p>
    <w:p w14:paraId="34C95B3B" w14:textId="77777777" w:rsidR="001A1B2A" w:rsidRDefault="00000000">
      <w:pPr>
        <w:pStyle w:val="Heading2"/>
        <w:spacing w:before="160" w:after="80" w:line="240" w:lineRule="auto"/>
      </w:pPr>
      <w:bookmarkStart w:id="12" w:name="cross_a"/>
      <w:r>
        <w:rPr>
          <w:rFonts w:ascii="Times New Roman" w:eastAsia="Times New Roman" w:hAnsi="Times New Roman" w:cs="Times New Roman"/>
        </w:rPr>
        <w:t>A. Accessibility Should Be Designed and Budgeted from the Outset</w:t>
      </w:r>
      <w:bookmarkEnd w:id="12"/>
    </w:p>
    <w:p w14:paraId="2BBDAEBE" w14:textId="77777777" w:rsidR="001A1B2A" w:rsidRDefault="00000000">
      <w:pPr>
        <w:pStyle w:val="BodyText"/>
        <w:ind w:firstLine="720"/>
      </w:pPr>
      <w:r>
        <w:t>The Commission should treat accessibility, reliability, comprehension, independence, and dependable life-safety access as material benefits of alerting modernization. Accessibility should therefore be incorporated from the beginning into standards, firmware, software, equipment, testing, procurement, and implementation—not added later as a retrofit after fundamental design choices have been made. Designing for accessibility at the outset can also reduce the risk that later modifications will be needed simply to restore access that could have been preserved during development.</w:t>
      </w:r>
    </w:p>
    <w:p w14:paraId="26E56D5E" w14:textId="77777777" w:rsidR="001A1B2A" w:rsidRDefault="00000000">
      <w:pPr>
        <w:pStyle w:val="Heading2"/>
        <w:spacing w:before="160" w:after="80" w:line="240" w:lineRule="auto"/>
      </w:pPr>
      <w:bookmarkStart w:id="13" w:name="cross_b"/>
      <w:r>
        <w:rPr>
          <w:rFonts w:ascii="Times New Roman" w:eastAsia="Times New Roman" w:hAnsi="Times New Roman" w:cs="Times New Roman"/>
        </w:rPr>
        <w:t>B. Cross-Disability Testing and Accessibility Validation Should Continue Through Implementation</w:t>
      </w:r>
      <w:bookmarkEnd w:id="13"/>
    </w:p>
    <w:p w14:paraId="4AA1676B" w14:textId="77777777" w:rsidR="001A1B2A" w:rsidRDefault="00000000">
      <w:pPr>
        <w:pStyle w:val="BodyText"/>
        <w:ind w:firstLine="720"/>
      </w:pPr>
      <w:r>
        <w:t xml:space="preserve">Early and iterative cross-disability testing should be treated as necessary implementation work rather than an optional final check. Testing and accessibility validation should begin during design and continue through deployment and post-deployment evaluation, with participation by </w:t>
      </w:r>
      <w:r>
        <w:lastRenderedPageBreak/>
        <w:t>users whose needs are implicated by the particular technology or presentation method. This should include, as relevant, blind, low-vision, Deaf, hard-of-hearing, DeafBlind, cognitive-access, language-processing, and other users who may encounter barriers that laboratory conformance testing alone does not reveal.</w:t>
      </w:r>
    </w:p>
    <w:p w14:paraId="2D095D85" w14:textId="77777777" w:rsidR="001A1B2A" w:rsidRDefault="00000000">
      <w:pPr>
        <w:pStyle w:val="Heading2"/>
        <w:spacing w:before="160" w:after="80" w:line="240" w:lineRule="auto"/>
      </w:pPr>
      <w:bookmarkStart w:id="14" w:name="cross_c"/>
      <w:r>
        <w:rPr>
          <w:rFonts w:ascii="Times New Roman" w:eastAsia="Times New Roman" w:hAnsi="Times New Roman" w:cs="Times New Roman"/>
        </w:rPr>
        <w:t>C. Implementation Schedules Should Preserve Accessibility Continuity</w:t>
      </w:r>
      <w:bookmarkEnd w:id="14"/>
    </w:p>
    <w:p w14:paraId="5B559580" w14:textId="77777777" w:rsidR="001A1B2A" w:rsidRDefault="00000000">
      <w:pPr>
        <w:pStyle w:val="BodyText"/>
        <w:ind w:firstLine="720"/>
      </w:pPr>
      <w:r>
        <w:t>Accessibility should be built into implementation schedules from the outset, with sufficient time for standards and design work, user testing, accessibility validation, device and software implementation, consumer education, deployment, and post-deployment evaluation. Staged milestones can help ensure that accessibility is evaluated before implementation advances to the next stage. Most importantly, modernization schedules should avoid temporary accessibility gaps: accessible modalities and functionality should reach parity as close to simultaneously as technically feasible rather than requiring people with disabilities to wait for access after a new system or feature is otherwise operational.</w:t>
      </w:r>
    </w:p>
    <w:p w14:paraId="7D5535B3" w14:textId="77777777" w:rsidR="001A1B2A" w:rsidRDefault="00000000">
      <w:pPr>
        <w:pStyle w:val="Heading2"/>
        <w:spacing w:before="160" w:after="80" w:line="240" w:lineRule="auto"/>
      </w:pPr>
      <w:bookmarkStart w:id="15" w:name="cross_d"/>
      <w:r>
        <w:rPr>
          <w:rFonts w:ascii="Times New Roman" w:eastAsia="Times New Roman" w:hAnsi="Times New Roman" w:cs="Times New Roman"/>
        </w:rPr>
        <w:t>D. Compliance Periods Should Follow the Implementation Record</w:t>
      </w:r>
      <w:bookmarkEnd w:id="15"/>
    </w:p>
    <w:p w14:paraId="48FA0AF0" w14:textId="77777777" w:rsidR="001A1B2A" w:rsidRDefault="00000000">
      <w:pPr>
        <w:pStyle w:val="BodyText"/>
        <w:ind w:firstLine="720"/>
      </w:pPr>
      <w:r>
        <w:t xml:space="preserve">The Commission should avoid selecting precise compliance periods in the abstract before the technical and accessibility work necessary for implementation is sufficiently developed. Appropriate timelines should reflect the actual record concerning standards development, testing, accessibility validation, software or equipment changes, deployment, and consumer education. </w:t>
      </w:r>
      <w:r w:rsidR="00C644B8" w:rsidRPr="00C644B8">
        <w:t>Accessibility improvements can benefit a wide range of users</w:t>
      </w:r>
      <w:r w:rsidR="002F0C17" w:rsidRPr="00C644B8">
        <w:t xml:space="preserve">. </w:t>
      </w:r>
      <w:r w:rsidRPr="00C644B8">
        <w:t>Improved comprehension,</w:t>
      </w:r>
      <w:r>
        <w:t xml:space="preserve"> independence, reliability, and dependable access to life-safety information are themselves substantial benefits of modernization and should be included in the Commission’s evaluation of costs and benefits.</w:t>
      </w:r>
      <w:r>
        <w:rPr>
          <w:vertAlign w:val="superscript"/>
        </w:rPr>
        <w:footnoteReference w:id="12"/>
      </w:r>
    </w:p>
    <w:p w14:paraId="3B827D38" w14:textId="77777777" w:rsidR="001A1B2A" w:rsidRDefault="00000000">
      <w:pPr>
        <w:pStyle w:val="BodyText"/>
        <w:ind w:firstLine="720"/>
      </w:pPr>
      <w:r>
        <w:lastRenderedPageBreak/>
        <w:t xml:space="preserve">Taken together, these cross-cutting principles provide a practical implementation framework: </w:t>
      </w:r>
      <w:r w:rsidR="0079618F" w:rsidRPr="0079618F">
        <w:t>build accessibility into design and implementation</w:t>
      </w:r>
      <w:r>
        <w:t>, test it with users, preserve it through transition, and measure modernization by whether emergency information remains independently and dependably usable by people with disabilities.</w:t>
      </w:r>
    </w:p>
    <w:p w14:paraId="180A93A1" w14:textId="77777777" w:rsidR="001A1B2A" w:rsidRDefault="00000000">
      <w:pPr>
        <w:pStyle w:val="Heading1"/>
        <w:spacing w:before="120" w:after="240" w:line="240" w:lineRule="auto"/>
        <w:jc w:val="center"/>
      </w:pPr>
      <w:bookmarkStart w:id="16" w:name="sec_conclusion"/>
      <w:r>
        <w:rPr>
          <w:rFonts w:ascii="Times New Roman" w:eastAsia="Times New Roman" w:hAnsi="Times New Roman" w:cs="Times New Roman"/>
        </w:rPr>
        <w:t>V. Conclusion</w:t>
      </w:r>
      <w:bookmarkEnd w:id="16"/>
    </w:p>
    <w:p w14:paraId="68CE497F" w14:textId="77777777" w:rsidR="001A1B2A" w:rsidRDefault="00000000">
      <w:pPr>
        <w:pStyle w:val="BodyText"/>
        <w:ind w:firstLine="720"/>
      </w:pPr>
      <w:r>
        <w:t>ACB, AFB, and Bridge appreciate the Commission’s continuing work to strengthen and modernize the nation’s emergency alerting systems. The opportunity presented by this proceeding is to ensure that modernization produces better outcomes for the people who depend on EAS and WEA when time, clarity, and reliable access matter most.</w:t>
      </w:r>
    </w:p>
    <w:p w14:paraId="4CE68E50" w14:textId="77777777" w:rsidR="001A1B2A" w:rsidRDefault="00000000">
      <w:pPr>
        <w:pStyle w:val="BodyText"/>
        <w:ind w:firstLine="720"/>
      </w:pPr>
      <w:r>
        <w:t>The recommendations presented here are intended to advance that objective while preserving implementation flexibility. Whatever technical approaches ultimately emerge, people with disabilities should be able to receive emergency information promptly, understand whether and how they are affected, revisit critical information where necessary, and independently determine what action they should take.</w:t>
      </w:r>
    </w:p>
    <w:p w14:paraId="43EE7299" w14:textId="77777777" w:rsidR="005E30BB" w:rsidRDefault="005E30BB">
      <w:pPr>
        <w:pStyle w:val="BodyText"/>
        <w:ind w:firstLine="720"/>
      </w:pPr>
      <w:r w:rsidRPr="005E30BB">
        <w:t xml:space="preserve">We also appreciate the work of </w:t>
      </w:r>
      <w:proofErr w:type="spellStart"/>
      <w:r w:rsidRPr="005E30BB">
        <w:t>TDIforAccess</w:t>
      </w:r>
      <w:proofErr w:type="spellEnd"/>
      <w:r w:rsidRPr="005E30BB">
        <w:t>, Inc. (TDI) and the other organizations representing Deaf and hard-of-hearing communities. These parallel efforts reflect distinct expertise and perspectives and should assist the Commission in considering the accessibility implications of alerting modernization across disability communities.</w:t>
      </w:r>
    </w:p>
    <w:p w14:paraId="2DAF21C3" w14:textId="77777777" w:rsidR="001A1B2A" w:rsidRDefault="00000000">
      <w:pPr>
        <w:pStyle w:val="BodyText"/>
        <w:ind w:firstLine="720"/>
      </w:pPr>
      <w:r>
        <w:t xml:space="preserve">We urge the Commission to incorporate these accessibility outcomes as it resolves the Further Notice. The measure of successful modernization should be an alerting system that </w:t>
      </w:r>
      <w:r w:rsidR="009D324D">
        <w:t xml:space="preserve">is </w:t>
      </w:r>
      <w:r>
        <w:t>more dependable, understandable, and usable for people with disabilities when seconds matter.</w:t>
      </w:r>
    </w:p>
    <w:p w14:paraId="32AF08F0" w14:textId="77777777" w:rsidR="003C7570" w:rsidRDefault="00000000">
      <w:pPr>
        <w:pageBreakBefore/>
        <w:spacing w:after="200"/>
      </w:pPr>
      <w:r>
        <w:rPr>
          <w:rFonts w:cs="Times New Roman"/>
        </w:rPr>
        <w:lastRenderedPageBreak/>
        <w:t>Respectfully submitted,</w:t>
      </w:r>
    </w:p>
    <w:p w14:paraId="7FF6A385" w14:textId="77777777" w:rsidR="003C7570" w:rsidRDefault="00000000">
      <w:pPr>
        <w:spacing w:before="160" w:line="240" w:lineRule="auto"/>
      </w:pPr>
      <w:r>
        <w:rPr>
          <w:rFonts w:cs="Times New Roman"/>
          <w:b/>
          <w:sz w:val="22"/>
        </w:rPr>
        <w:t>American Council of the Blind</w:t>
      </w:r>
    </w:p>
    <w:p w14:paraId="33EC1855" w14:textId="3B76078F" w:rsidR="003C7570" w:rsidRDefault="00000000">
      <w:pPr>
        <w:spacing w:line="240" w:lineRule="auto"/>
      </w:pPr>
      <w:r>
        <w:rPr>
          <w:rFonts w:cs="Times New Roman"/>
          <w:sz w:val="22"/>
        </w:rPr>
        <w:t>Kim Charlson</w:t>
      </w:r>
      <w:r w:rsidR="00BF7CAC">
        <w:rPr>
          <w:rFonts w:cs="Times New Roman"/>
          <w:sz w:val="22"/>
        </w:rPr>
        <w:t>. Co-chair. Audio Description Project</w:t>
      </w:r>
    </w:p>
    <w:p w14:paraId="036E47D4" w14:textId="1221BF8A" w:rsidR="003C7570" w:rsidRDefault="00000000">
      <w:pPr>
        <w:spacing w:line="240" w:lineRule="auto"/>
      </w:pPr>
      <w:r>
        <w:rPr>
          <w:rFonts w:cs="Times New Roman"/>
          <w:sz w:val="22"/>
        </w:rPr>
        <w:t>Carl Richardson</w:t>
      </w:r>
      <w:r w:rsidR="00BF7CAC">
        <w:rPr>
          <w:rFonts w:cs="Times New Roman"/>
          <w:sz w:val="22"/>
        </w:rPr>
        <w:t>, Co-chair, Audio Description Project</w:t>
      </w:r>
    </w:p>
    <w:p w14:paraId="38C6466A" w14:textId="77777777" w:rsidR="003C7570" w:rsidRDefault="00000000">
      <w:pPr>
        <w:spacing w:before="160" w:line="240" w:lineRule="auto"/>
      </w:pPr>
      <w:r>
        <w:rPr>
          <w:rFonts w:cs="Times New Roman"/>
          <w:b/>
          <w:sz w:val="22"/>
        </w:rPr>
        <w:t>American Foundation for the Blind</w:t>
      </w:r>
    </w:p>
    <w:p w14:paraId="29882567" w14:textId="77777777" w:rsidR="003C7570" w:rsidRDefault="00000000">
      <w:pPr>
        <w:spacing w:line="240" w:lineRule="auto"/>
      </w:pPr>
      <w:r>
        <w:rPr>
          <w:rFonts w:cs="Times New Roman"/>
          <w:sz w:val="22"/>
        </w:rPr>
        <w:t>Eric Bridges, President &amp; CEO</w:t>
      </w:r>
    </w:p>
    <w:p w14:paraId="670FB28A" w14:textId="77777777" w:rsidR="003C7570" w:rsidRDefault="00000000">
      <w:pPr>
        <w:spacing w:line="240" w:lineRule="auto"/>
      </w:pPr>
      <w:r>
        <w:rPr>
          <w:rFonts w:cs="Times New Roman"/>
          <w:sz w:val="22"/>
        </w:rPr>
        <w:t>Sarah Malaier, Senior Advisor, Public Policy and Research</w:t>
      </w:r>
    </w:p>
    <w:p w14:paraId="604134F8" w14:textId="77777777" w:rsidR="003C7570" w:rsidRDefault="00000000">
      <w:pPr>
        <w:spacing w:before="160" w:line="240" w:lineRule="auto"/>
      </w:pPr>
      <w:r>
        <w:rPr>
          <w:rFonts w:cs="Times New Roman"/>
          <w:b/>
          <w:sz w:val="22"/>
        </w:rPr>
        <w:t>Bridge Multimedia Corporation</w:t>
      </w:r>
    </w:p>
    <w:p w14:paraId="4099E9F5" w14:textId="7726B993" w:rsidR="003C7570" w:rsidRDefault="00000000">
      <w:pPr>
        <w:spacing w:line="240" w:lineRule="auto"/>
      </w:pPr>
      <w:r>
        <w:rPr>
          <w:rFonts w:cs="Times New Roman"/>
          <w:sz w:val="22"/>
        </w:rPr>
        <w:t>Matt</w:t>
      </w:r>
      <w:r w:rsidR="00BF7CAC">
        <w:rPr>
          <w:rFonts w:cs="Times New Roman"/>
          <w:sz w:val="22"/>
        </w:rPr>
        <w:t>hew</w:t>
      </w:r>
      <w:r>
        <w:rPr>
          <w:rFonts w:cs="Times New Roman"/>
          <w:sz w:val="22"/>
        </w:rPr>
        <w:t xml:space="preserve"> Kaplowitz, President &amp; CEO</w:t>
      </w:r>
    </w:p>
    <w:p w14:paraId="6BB12A00" w14:textId="77777777" w:rsidR="003C7570" w:rsidRDefault="00000000">
      <w:pPr>
        <w:spacing w:line="240" w:lineRule="auto"/>
      </w:pPr>
      <w:r>
        <w:rPr>
          <w:rFonts w:cs="Times New Roman"/>
          <w:sz w:val="22"/>
        </w:rPr>
        <w:t>Wendy Sapp, Ph.D., Vice President, Research and Special Projects</w:t>
      </w:r>
    </w:p>
    <w:p w14:paraId="06A54594" w14:textId="77777777" w:rsidR="003C7570" w:rsidRDefault="00000000">
      <w:pPr>
        <w:spacing w:before="200" w:line="240" w:lineRule="auto"/>
      </w:pPr>
      <w:r>
        <w:rPr>
          <w:rFonts w:cs="Times New Roman"/>
          <w:sz w:val="22"/>
        </w:rPr>
        <w:t>August 28, 2026</w:t>
      </w:r>
    </w:p>
    <w:sectPr w:rsidR="003C7570" w:rsidSect="00BF7CAC">
      <w:footerReference w:type="default" r:id="rId8"/>
      <w:pgSz w:w="12240" w:h="15840"/>
      <w:pgMar w:top="1440" w:right="1440" w:bottom="1440" w:left="1440" w:header="720"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E3AAD" w14:textId="77777777" w:rsidR="00DE2151" w:rsidRDefault="00DE2151">
      <w:pPr>
        <w:spacing w:line="240" w:lineRule="auto"/>
      </w:pPr>
      <w:r>
        <w:separator/>
      </w:r>
    </w:p>
  </w:endnote>
  <w:endnote w:type="continuationSeparator" w:id="0">
    <w:p w14:paraId="7A227395" w14:textId="77777777" w:rsidR="00DE2151" w:rsidRDefault="00DE2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B25AD" w14:textId="77777777" w:rsidR="003C7570" w:rsidRDefault="00000000">
    <w:pPr>
      <w:jc w:val="center"/>
    </w:pPr>
    <w:r>
      <w:rPr>
        <w:rFonts w:cs="Times New Roman"/>
        <w:sz w:val="18"/>
      </w:rPr>
      <w:t xml:space="preserve">FCC 26-38 — ACB/AFB/Bridge | 08/28/26 | Page </w:t>
    </w:r>
    <w:r>
      <w:rPr>
        <w:rFonts w:cs="Times New Roman"/>
        <w:sz w:val="18"/>
      </w:rPr>
      <w:fldChar w:fldCharType="begin"/>
    </w:r>
    <w:r>
      <w:rPr>
        <w:rFonts w:cs="Times New Roman"/>
        <w:sz w:val="18"/>
      </w:rPr>
      <w:instrText>PAGE</w:instrText>
    </w:r>
    <w:r w:rsidR="00BF7CAC">
      <w:rPr>
        <w:rFonts w:cs="Times New Roman"/>
        <w:sz w:val="18"/>
      </w:rPr>
      <w:fldChar w:fldCharType="separate"/>
    </w:r>
    <w:r w:rsidR="00BF7CAC">
      <w:rPr>
        <w:rFonts w:cs="Times New Roman"/>
        <w:noProof/>
        <w:sz w:val="18"/>
      </w:rPr>
      <w:t>1</w:t>
    </w:r>
    <w:r>
      <w:rPr>
        <w:rFonts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A42FB" w14:textId="77777777" w:rsidR="00DE2151" w:rsidRDefault="00DE2151">
      <w:pPr>
        <w:spacing w:line="240" w:lineRule="auto"/>
      </w:pPr>
      <w:r>
        <w:separator/>
      </w:r>
    </w:p>
  </w:footnote>
  <w:footnote w:type="continuationSeparator" w:id="0">
    <w:p w14:paraId="3B14B44C" w14:textId="77777777" w:rsidR="00DE2151" w:rsidRDefault="00DE2151">
      <w:pPr>
        <w:spacing w:line="240" w:lineRule="auto"/>
      </w:pPr>
      <w:r>
        <w:continuationSeparator/>
      </w:r>
    </w:p>
  </w:footnote>
  <w:footnote w:id="1">
    <w:p w14:paraId="6DE3C614"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Modernization of the Nation’s Alerting Systems et al., Report and Order and Further Notice of Proposed Rulemaking, FCC 26-38, PS Docket Nos. 25-224, 22-329, 15-91, and 15-94, paras. 9-11 (rel. June 29, 2026), https://docs.fcc.gov/public/attachments/FCC-26-38A1.pdf (FCC 26-38).</w:t>
      </w:r>
    </w:p>
  </w:footnote>
  <w:footnote w:id="2">
    <w:p w14:paraId="5632D9E9"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12-27 (adopting targeted EAS cybersecurity requirements).</w:t>
      </w:r>
    </w:p>
  </w:footnote>
  <w:footnote w:id="3">
    <w:p w14:paraId="77DEA82B"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41-48 (proposing EAS message authentication and seeking comment on delay, erroneous rejection, key management, and outage resilience).</w:t>
      </w:r>
    </w:p>
  </w:footnote>
  <w:footnote w:id="4">
    <w:p w14:paraId="33E6625F"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ATSC, A/300:2026-04, ATSC 3.0 System (Apr. 14, 2026); ATSC, A/331:2026-04, Signaling, Delivery, Synchronization, and Error Protection (Apr. 14, 2026).</w:t>
      </w:r>
    </w:p>
  </w:footnote>
  <w:footnote w:id="5">
    <w:p w14:paraId="2858ADF4"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49-58 (duplicate-alert suppression and consistent WEA retransmission).</w:t>
      </w:r>
    </w:p>
  </w:footnote>
  <w:footnote w:id="6">
    <w:p w14:paraId="6D164281"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59-75 (WEA geotargeting and EAS geofencing, including ATSC 3.0).</w:t>
      </w:r>
    </w:p>
  </w:footnote>
  <w:footnote w:id="7">
    <w:p w14:paraId="0A02390A"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ATSC, Board Chairman’s Memo: Momentum at Home, Impact Abroad (May 27, 2025), https://www.atsc.org/news/board-chairmans-memo-momentum-at-home-impact-abroad/; ATSC, ATSC Showcases Next-Generation Broadcast Innovation at SET Expo 2026 (Aug. 14, 2026), https://www.atsc.org/news/atsc-showcases-next-generation-broadcast-innovation-at-set-expo-2026/.</w:t>
      </w:r>
    </w:p>
  </w:footnote>
  <w:footnote w:id="8">
    <w:p w14:paraId="1252F6F3"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78-82 (promoting the use of symbols for alerts).</w:t>
      </w:r>
    </w:p>
  </w:footnote>
  <w:footnote w:id="9">
    <w:p w14:paraId="13D8723D"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83-86 (WEA earthquake speech and attention-signal proposals).</w:t>
      </w:r>
    </w:p>
  </w:footnote>
  <w:footnote w:id="10">
    <w:p w14:paraId="71A35D35"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88-117 (proposed use, certification, implementation, and operation of software-based EAS).</w:t>
      </w:r>
    </w:p>
  </w:footnote>
  <w:footnote w:id="11">
    <w:p w14:paraId="233BAC4C"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118-120; 47 C.F.R. § 10.430.</w:t>
      </w:r>
    </w:p>
  </w:footnote>
  <w:footnote w:id="12">
    <w:p w14:paraId="434DA4C5" w14:textId="77777777" w:rsidR="003C7570" w:rsidRDefault="00000000">
      <w:pPr>
        <w:tabs>
          <w:tab w:val="left" w:pos="360"/>
        </w:tabs>
        <w:spacing w:line="240" w:lineRule="auto"/>
        <w:ind w:left="360" w:hanging="360"/>
      </w:pPr>
      <w:r>
        <w:rPr>
          <w:rFonts w:cs="Times New Roman"/>
          <w:sz w:val="20"/>
          <w:szCs w:val="20"/>
          <w:vertAlign w:val="superscript"/>
        </w:rPr>
        <w:footnoteRef/>
      </w:r>
      <w:r>
        <w:rPr>
          <w:rFonts w:cs="Times New Roman"/>
          <w:sz w:val="20"/>
          <w:szCs w:val="20"/>
        </w:rPr>
        <w:t xml:space="preserve"> See FCC 26-38 paras. 121-141 (analysis of benefits and costs and proposed compliance timeframes).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B56ED43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7288770">
    <w:abstractNumId w:val="8"/>
  </w:num>
  <w:num w:numId="2" w16cid:durableId="101416144">
    <w:abstractNumId w:val="6"/>
  </w:num>
  <w:num w:numId="3" w16cid:durableId="2140292951">
    <w:abstractNumId w:val="5"/>
  </w:num>
  <w:num w:numId="4" w16cid:durableId="547568560">
    <w:abstractNumId w:val="4"/>
  </w:num>
  <w:num w:numId="5" w16cid:durableId="336424336">
    <w:abstractNumId w:val="7"/>
  </w:num>
  <w:num w:numId="6" w16cid:durableId="461925832">
    <w:abstractNumId w:val="3"/>
  </w:num>
  <w:num w:numId="7" w16cid:durableId="401758379">
    <w:abstractNumId w:val="2"/>
  </w:num>
  <w:num w:numId="8" w16cid:durableId="811409017">
    <w:abstractNumId w:val="1"/>
  </w:num>
  <w:num w:numId="9" w16cid:durableId="588657397">
    <w:abstractNumId w:val="0"/>
  </w:num>
  <w:num w:numId="10" w16cid:durableId="1401905421">
    <w:abstractNumId w:val="7"/>
  </w:num>
  <w:num w:numId="11" w16cid:durableId="6035348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F6A"/>
    <w:rsid w:val="0006063C"/>
    <w:rsid w:val="00086750"/>
    <w:rsid w:val="0015074B"/>
    <w:rsid w:val="0018412E"/>
    <w:rsid w:val="001A1B2A"/>
    <w:rsid w:val="001D2A02"/>
    <w:rsid w:val="00260576"/>
    <w:rsid w:val="00265CA4"/>
    <w:rsid w:val="00280CB1"/>
    <w:rsid w:val="0029639D"/>
    <w:rsid w:val="002F0C17"/>
    <w:rsid w:val="00326F90"/>
    <w:rsid w:val="00374D57"/>
    <w:rsid w:val="003C2E21"/>
    <w:rsid w:val="003C409C"/>
    <w:rsid w:val="003C7570"/>
    <w:rsid w:val="00444516"/>
    <w:rsid w:val="00463FF4"/>
    <w:rsid w:val="0048235B"/>
    <w:rsid w:val="004A0092"/>
    <w:rsid w:val="004A1DFB"/>
    <w:rsid w:val="004B4BD3"/>
    <w:rsid w:val="004C069B"/>
    <w:rsid w:val="004D63F8"/>
    <w:rsid w:val="004F265F"/>
    <w:rsid w:val="004F5153"/>
    <w:rsid w:val="00554022"/>
    <w:rsid w:val="0056162F"/>
    <w:rsid w:val="005A681C"/>
    <w:rsid w:val="005B4249"/>
    <w:rsid w:val="005E30BB"/>
    <w:rsid w:val="006350C0"/>
    <w:rsid w:val="007775AE"/>
    <w:rsid w:val="00784E02"/>
    <w:rsid w:val="0079618F"/>
    <w:rsid w:val="007D0C06"/>
    <w:rsid w:val="00811C64"/>
    <w:rsid w:val="00835DE8"/>
    <w:rsid w:val="00926024"/>
    <w:rsid w:val="009D324D"/>
    <w:rsid w:val="00A10011"/>
    <w:rsid w:val="00A45675"/>
    <w:rsid w:val="00AA1D8D"/>
    <w:rsid w:val="00AA7A76"/>
    <w:rsid w:val="00B272F5"/>
    <w:rsid w:val="00B47286"/>
    <w:rsid w:val="00B47730"/>
    <w:rsid w:val="00BA7B35"/>
    <w:rsid w:val="00BC5663"/>
    <w:rsid w:val="00BF7CAC"/>
    <w:rsid w:val="00C47F8D"/>
    <w:rsid w:val="00C644B8"/>
    <w:rsid w:val="00C6571A"/>
    <w:rsid w:val="00C93D32"/>
    <w:rsid w:val="00CA0AA4"/>
    <w:rsid w:val="00CA6151"/>
    <w:rsid w:val="00CB0664"/>
    <w:rsid w:val="00CC175B"/>
    <w:rsid w:val="00CC496F"/>
    <w:rsid w:val="00CC5639"/>
    <w:rsid w:val="00D4245A"/>
    <w:rsid w:val="00D508CC"/>
    <w:rsid w:val="00D5100A"/>
    <w:rsid w:val="00DA4B4D"/>
    <w:rsid w:val="00DC53D0"/>
    <w:rsid w:val="00DE2151"/>
    <w:rsid w:val="00E23CC3"/>
    <w:rsid w:val="00E32A32"/>
    <w:rsid w:val="00F527BC"/>
    <w:rsid w:val="00F66E0F"/>
    <w:rsid w:val="00FB1CDE"/>
    <w:rsid w:val="00FC693F"/>
    <w:rsid w:val="00FD1855"/>
    <w:rsid w:val="00FF3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63AE3"/>
  <w14:defaultImageDpi w14:val="300"/>
  <w15:docId w15:val="{E7FEB2FD-C7DA-1742-9630-12262543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eastAsia="Times New Roman" w:hAnsi="Times New Roman"/>
      <w:color w:val="000000"/>
      <w:sz w:val="24"/>
    </w:rPr>
  </w:style>
  <w:style w:type="paragraph" w:styleId="Heading1">
    <w:name w:val="heading 1"/>
    <w:basedOn w:val="Normal"/>
    <w:next w:val="Normal"/>
    <w:link w:val="Heading1Char"/>
    <w:uiPriority w:val="9"/>
    <w:qFormat/>
    <w:rsid w:val="00FC693F"/>
    <w:pPr>
      <w:keepNext/>
      <w:keepLines/>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4913</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FCC 26-38 — ACB/AFB/Bridge Recommendations</vt:lpstr>
    </vt:vector>
  </TitlesOfParts>
  <Manager/>
  <Company/>
  <LinksUpToDate>false</LinksUpToDate>
  <CharactersWithSpaces>32858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26-38 — ACB/AFB/Bridge Recommendations</dc:title>
  <dc:subject>Recommendations in response to FCC 26-38 Further Notice of Proposed Rulemaking</dc:subject>
  <dc:creator>ACB / AFB / Bridge Multimedia</dc:creator>
  <cp:keywords>FCC 26-38, EAS, WEA, accessibility, ACB, AFB, Bridge Multimedia</cp:keywords>
  <dc:description>generated by python-docx</dc:description>
  <cp:lastModifiedBy>Matt Kaplowitz</cp:lastModifiedBy>
  <cp:revision>3</cp:revision>
  <dcterms:created xsi:type="dcterms:W3CDTF">2026-08-25T10:10:00Z</dcterms:created>
  <dcterms:modified xsi:type="dcterms:W3CDTF">2026-08-28T13:57:00Z</dcterms:modified>
  <cp:category/>
</cp:coreProperties>
</file>