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0A5283F7" w:rsidR="00D113DE" w:rsidRPr="003C6100" w:rsidRDefault="001B251E" w:rsidP="008F7BEE">
      <w:pPr>
        <w:ind w:left="1440" w:firstLine="634"/>
        <w:jc w:val="right"/>
        <w:outlineLvl w:val="0"/>
        <w:rPr>
          <w:rFonts w:cs="Arial"/>
          <w:b w:val="0"/>
          <w:color w:val="2E2763"/>
          <w:spacing w:val="-2"/>
          <w:sz w:val="24"/>
          <w:szCs w:val="24"/>
        </w:rPr>
      </w:pPr>
      <w:r w:rsidRPr="003C6100">
        <w:rPr>
          <w:rFonts w:cs="Arial"/>
          <w:noProof/>
          <w:color w:val="2E2763"/>
          <w:spacing w:val="12"/>
          <w:sz w:val="24"/>
          <w:szCs w:val="24"/>
        </w:rPr>
        <w:drawing>
          <wp:anchor distT="0" distB="0" distL="114300" distR="114300" simplePos="0" relativeHeight="251657728" behindDoc="0" locked="0" layoutInCell="1" allowOverlap="1" wp14:anchorId="0B14212F" wp14:editId="14696235">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ACB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3C6100">
        <w:rPr>
          <w:rFonts w:cs="Arial"/>
          <w:b w:val="0"/>
          <w:color w:val="2E2763"/>
          <w:spacing w:val="-2"/>
          <w:sz w:val="24"/>
          <w:szCs w:val="24"/>
        </w:rPr>
        <w:t>1703 N</w:t>
      </w:r>
      <w:r w:rsidR="005C3262" w:rsidRPr="003C6100">
        <w:rPr>
          <w:rFonts w:cs="Arial"/>
          <w:b w:val="0"/>
          <w:color w:val="2E2763"/>
          <w:spacing w:val="-2"/>
          <w:sz w:val="24"/>
          <w:szCs w:val="24"/>
        </w:rPr>
        <w:t>.</w:t>
      </w:r>
      <w:r w:rsidR="008D3DD6" w:rsidRPr="003C6100">
        <w:rPr>
          <w:rFonts w:cs="Arial"/>
          <w:b w:val="0"/>
          <w:color w:val="2E2763"/>
          <w:spacing w:val="-2"/>
          <w:sz w:val="24"/>
          <w:szCs w:val="24"/>
        </w:rPr>
        <w:t xml:space="preserve"> Beauregard St</w:t>
      </w:r>
      <w:r w:rsidR="00297DF0" w:rsidRPr="003C6100">
        <w:rPr>
          <w:rFonts w:cs="Arial"/>
          <w:b w:val="0"/>
          <w:color w:val="2E2763"/>
          <w:spacing w:val="-2"/>
          <w:sz w:val="24"/>
          <w:szCs w:val="24"/>
        </w:rPr>
        <w:t>.</w:t>
      </w:r>
      <w:r w:rsidR="007D7CFB" w:rsidRPr="003C6100">
        <w:rPr>
          <w:rFonts w:cs="Arial"/>
          <w:b w:val="0"/>
          <w:color w:val="2E2763"/>
          <w:spacing w:val="-2"/>
          <w:sz w:val="24"/>
          <w:szCs w:val="24"/>
        </w:rPr>
        <w:t xml:space="preserve">, Suite </w:t>
      </w:r>
      <w:r w:rsidR="008D3DD6" w:rsidRPr="003C6100">
        <w:rPr>
          <w:rFonts w:cs="Arial"/>
          <w:b w:val="0"/>
          <w:color w:val="2E2763"/>
          <w:spacing w:val="-2"/>
          <w:sz w:val="24"/>
          <w:szCs w:val="24"/>
        </w:rPr>
        <w:t>42</w:t>
      </w:r>
      <w:r w:rsidR="00297DF0" w:rsidRPr="003C6100">
        <w:rPr>
          <w:rFonts w:cs="Arial"/>
          <w:b w:val="0"/>
          <w:color w:val="2E2763"/>
          <w:spacing w:val="-2"/>
          <w:sz w:val="24"/>
          <w:szCs w:val="24"/>
        </w:rPr>
        <w:t>0</w:t>
      </w:r>
      <w:r w:rsidR="00E25664" w:rsidRPr="003C6100">
        <w:rPr>
          <w:rFonts w:cs="Arial"/>
          <w:b w:val="0"/>
          <w:color w:val="2E2763"/>
          <w:spacing w:val="-2"/>
          <w:sz w:val="24"/>
          <w:szCs w:val="24"/>
        </w:rPr>
        <w:t xml:space="preserve"> </w:t>
      </w:r>
    </w:p>
    <w:p w14:paraId="2F2F66C5" w14:textId="5B9C5E07" w:rsidR="00D113DE" w:rsidRPr="003C6100" w:rsidRDefault="00297DF0" w:rsidP="008F7BEE">
      <w:pPr>
        <w:ind w:left="1440" w:firstLine="634"/>
        <w:jc w:val="right"/>
        <w:outlineLvl w:val="0"/>
        <w:rPr>
          <w:rFonts w:cs="Arial"/>
          <w:b w:val="0"/>
          <w:color w:val="2E2763"/>
          <w:spacing w:val="-2"/>
          <w:sz w:val="24"/>
          <w:szCs w:val="24"/>
        </w:rPr>
      </w:pPr>
      <w:r w:rsidRPr="003C6100">
        <w:rPr>
          <w:rFonts w:cs="Arial"/>
          <w:b w:val="0"/>
          <w:color w:val="2E2763"/>
          <w:spacing w:val="-2"/>
          <w:sz w:val="24"/>
          <w:szCs w:val="24"/>
        </w:rPr>
        <w:t>A</w:t>
      </w:r>
      <w:r w:rsidR="008D3DD6" w:rsidRPr="003C6100">
        <w:rPr>
          <w:rFonts w:cs="Arial"/>
          <w:b w:val="0"/>
          <w:color w:val="2E2763"/>
          <w:spacing w:val="-2"/>
          <w:sz w:val="24"/>
          <w:szCs w:val="24"/>
        </w:rPr>
        <w:t>lexandria</w:t>
      </w:r>
      <w:r w:rsidRPr="003C6100">
        <w:rPr>
          <w:rFonts w:cs="Arial"/>
          <w:b w:val="0"/>
          <w:color w:val="2E2763"/>
          <w:spacing w:val="-2"/>
          <w:sz w:val="24"/>
          <w:szCs w:val="24"/>
        </w:rPr>
        <w:t>, VA 22</w:t>
      </w:r>
      <w:r w:rsidR="008D3DD6" w:rsidRPr="003C6100">
        <w:rPr>
          <w:rFonts w:cs="Arial"/>
          <w:b w:val="0"/>
          <w:color w:val="2E2763"/>
          <w:spacing w:val="-2"/>
          <w:sz w:val="24"/>
          <w:szCs w:val="24"/>
        </w:rPr>
        <w:t>311</w:t>
      </w:r>
      <w:r w:rsidR="00E25664" w:rsidRPr="003C6100">
        <w:rPr>
          <w:rFonts w:cs="Arial"/>
          <w:b w:val="0"/>
          <w:color w:val="2E2763"/>
          <w:spacing w:val="-2"/>
          <w:sz w:val="24"/>
          <w:szCs w:val="24"/>
        </w:rPr>
        <w:t xml:space="preserve"> </w:t>
      </w:r>
    </w:p>
    <w:p w14:paraId="7076D954" w14:textId="0C70B134" w:rsidR="00D113DE" w:rsidRPr="003C6100" w:rsidRDefault="00E25664" w:rsidP="008F7BEE">
      <w:pPr>
        <w:ind w:left="1440" w:firstLine="634"/>
        <w:jc w:val="right"/>
        <w:outlineLvl w:val="0"/>
        <w:rPr>
          <w:rFonts w:cs="Arial"/>
          <w:b w:val="0"/>
          <w:color w:val="2E2763"/>
          <w:spacing w:val="-2"/>
          <w:sz w:val="24"/>
          <w:szCs w:val="24"/>
        </w:rPr>
      </w:pPr>
      <w:r w:rsidRPr="003C6100">
        <w:rPr>
          <w:rFonts w:cs="Arial"/>
          <w:b w:val="0"/>
          <w:color w:val="2E2763"/>
          <w:spacing w:val="-2"/>
          <w:sz w:val="24"/>
          <w:szCs w:val="24"/>
        </w:rPr>
        <w:t xml:space="preserve">Tel: </w:t>
      </w:r>
      <w:r w:rsidR="007E7F6E" w:rsidRPr="003C6100">
        <w:rPr>
          <w:rFonts w:cs="Arial"/>
          <w:b w:val="0"/>
          <w:color w:val="2E2763"/>
          <w:spacing w:val="-2"/>
          <w:sz w:val="24"/>
          <w:szCs w:val="24"/>
        </w:rPr>
        <w:t>(</w:t>
      </w:r>
      <w:r w:rsidRPr="003C6100">
        <w:rPr>
          <w:rFonts w:cs="Arial"/>
          <w:b w:val="0"/>
          <w:color w:val="2E2763"/>
          <w:spacing w:val="-2"/>
          <w:sz w:val="24"/>
          <w:szCs w:val="24"/>
        </w:rPr>
        <w:t>202</w:t>
      </w:r>
      <w:r w:rsidR="007E7F6E" w:rsidRPr="003C6100">
        <w:rPr>
          <w:rFonts w:cs="Arial"/>
          <w:b w:val="0"/>
          <w:color w:val="2E2763"/>
          <w:spacing w:val="-2"/>
          <w:sz w:val="24"/>
          <w:szCs w:val="24"/>
        </w:rPr>
        <w:t xml:space="preserve">) </w:t>
      </w:r>
      <w:r w:rsidRPr="003C6100">
        <w:rPr>
          <w:rFonts w:cs="Arial"/>
          <w:b w:val="0"/>
          <w:color w:val="2E2763"/>
          <w:spacing w:val="-2"/>
          <w:sz w:val="24"/>
          <w:szCs w:val="24"/>
        </w:rPr>
        <w:t>467-5081</w:t>
      </w:r>
      <w:r w:rsidR="00335ABF" w:rsidRPr="003C6100">
        <w:rPr>
          <w:rFonts w:cs="Arial"/>
          <w:b w:val="0"/>
          <w:color w:val="2E2763"/>
          <w:spacing w:val="-2"/>
          <w:sz w:val="24"/>
          <w:szCs w:val="24"/>
        </w:rPr>
        <w:t xml:space="preserve"> </w:t>
      </w:r>
    </w:p>
    <w:p w14:paraId="0B4E2ACE" w14:textId="1A7C5757" w:rsidR="00053BF3" w:rsidRPr="003C6100" w:rsidRDefault="00E25664" w:rsidP="008F7BEE">
      <w:pPr>
        <w:ind w:left="1440" w:firstLine="634"/>
        <w:jc w:val="right"/>
        <w:outlineLvl w:val="0"/>
        <w:rPr>
          <w:rFonts w:cs="Arial"/>
          <w:b w:val="0"/>
          <w:color w:val="2E2763"/>
          <w:spacing w:val="12"/>
          <w:sz w:val="24"/>
          <w:szCs w:val="24"/>
        </w:rPr>
      </w:pPr>
      <w:r w:rsidRPr="003C6100">
        <w:rPr>
          <w:rFonts w:cs="Arial"/>
          <w:b w:val="0"/>
          <w:color w:val="2E2763"/>
          <w:spacing w:val="-2"/>
          <w:sz w:val="24"/>
          <w:szCs w:val="24"/>
        </w:rPr>
        <w:t xml:space="preserve">Fax: </w:t>
      </w:r>
      <w:r w:rsidR="007E7F6E" w:rsidRPr="003C6100">
        <w:rPr>
          <w:rFonts w:cs="Arial"/>
          <w:b w:val="0"/>
          <w:color w:val="2E2763"/>
          <w:spacing w:val="-2"/>
          <w:sz w:val="24"/>
          <w:szCs w:val="24"/>
        </w:rPr>
        <w:t>(</w:t>
      </w:r>
      <w:r w:rsidR="00612E4E" w:rsidRPr="003C6100">
        <w:rPr>
          <w:rFonts w:cs="Arial"/>
          <w:b w:val="0"/>
          <w:color w:val="2E2763"/>
          <w:spacing w:val="-2"/>
          <w:sz w:val="24"/>
          <w:szCs w:val="24"/>
        </w:rPr>
        <w:t>703</w:t>
      </w:r>
      <w:r w:rsidR="007E7F6E" w:rsidRPr="003C6100">
        <w:rPr>
          <w:rFonts w:cs="Arial"/>
          <w:b w:val="0"/>
          <w:color w:val="2E2763"/>
          <w:spacing w:val="-2"/>
          <w:sz w:val="24"/>
          <w:szCs w:val="24"/>
        </w:rPr>
        <w:t xml:space="preserve">) </w:t>
      </w:r>
      <w:r w:rsidRPr="003C6100">
        <w:rPr>
          <w:rFonts w:cs="Arial"/>
          <w:b w:val="0"/>
          <w:color w:val="2E2763"/>
          <w:spacing w:val="-2"/>
          <w:sz w:val="24"/>
          <w:szCs w:val="24"/>
        </w:rPr>
        <w:t>46</w:t>
      </w:r>
      <w:r w:rsidR="00612E4E" w:rsidRPr="003C6100">
        <w:rPr>
          <w:rFonts w:cs="Arial"/>
          <w:b w:val="0"/>
          <w:color w:val="2E2763"/>
          <w:spacing w:val="-2"/>
          <w:sz w:val="24"/>
          <w:szCs w:val="24"/>
        </w:rPr>
        <w:t>5</w:t>
      </w:r>
      <w:r w:rsidRPr="003C6100">
        <w:rPr>
          <w:rFonts w:cs="Arial"/>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29BB6048">
                <wp:simplePos x="0" y="0"/>
                <wp:positionH relativeFrom="column">
                  <wp:posOffset>-17145</wp:posOffset>
                </wp:positionH>
                <wp:positionV relativeFrom="paragraph">
                  <wp:posOffset>151167</wp:posOffset>
                </wp:positionV>
                <wp:extent cx="6514278" cy="0"/>
                <wp:effectExtent l="0" t="25400" r="3937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2DFCF" id="Straight Connector 3"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QzzQEAAOkDAAAOAAAAZHJzL2Uyb0RvYy54bWysU01P3DAQvSP1P1i+d/NBWVC0WQ5Qeqko&#10;oi13rzPeWPKXbHeT/fcdO9lAW3EA9WLF45k3772ZbK5HrcgBfJDWtLRalZSA4baTZt/Snz/uPl5R&#10;EiIzHVPWQEuPEOj19sPZZnAN1La3qgNPEMSEZnAt7WN0TVEE3oNmYWUdGHwU1msW8er3RefZgOha&#10;FXVZrovB+s55yyEEjN5Oj3Sb8YUAHr8JESAS1VLkFvPp87lLZ7HdsGbvmesln2mwd7DQTBpsukDd&#10;ssjILy//gdKSexusiCtudWGFkByyBlRTlX+p+d4zB1kLmhPcYlP4f7D8/nBjHjzaMLjQBPfgk4pR&#10;eE2Eku4JZ5p1IVMyZtuOi20wRsIxuL6oPtWXOGh+eismiATlfIhfwGqSPlqqpEmKWMMOX0PEtph6&#10;SklhZcjQ0vOrqixzWrBKdndSqfQY/H53ozw5MJxm/bm+XJ+nASLEizS8KYPBZz35Kx4VTA0eQRDZ&#10;Ie9JWV41WGAZ52BiNeMqg9mpTCCFpXCmlnb0tcI5P5VCXsO3FC8VubM1cSnW0lg/GfNn9zieKIsp&#10;/+TApDtZsLPdMU86W4P7lJ2bdz8t7Mt7Ln/+Q7e/AQAA//8DAFBLAwQUAAYACAAAACEAdREfbN0A&#10;AAAJAQAADwAAAGRycy9kb3ducmV2LnhtbEyPzU7DMBCE70i8g7VI3FobV+InxKkQUtUjtAUVbtt4&#10;SSLidRS7Sfr2uOIAx50ZzX6TLyfXioH60Hg2cDNXIIhLbxuuDLztVrN7ECEiW2w9k4ETBVgWlxc5&#10;ZtaPvKFhGyuRSjhkaKCOscukDGVNDsPcd8TJ+/K9w5jOvpK2xzGVu1ZqpW6lw4bThxo7eq6p/N4e&#10;nYHVeq/X7cMnhhMN+416Gf37x6sx11fT0yOISFP8C8MZP6FDkZgO/sg2iNbATN+lpAG9SAvOvtIL&#10;DeLwq8gil/8XFD8AAAD//wMAUEsBAi0AFAAGAAgAAAAhALaDOJL+AAAA4QEAABMAAAAAAAAAAAAA&#10;AAAAAAAAAFtDb250ZW50X1R5cGVzXS54bWxQSwECLQAUAAYACAAAACEAOP0h/9YAAACUAQAACwAA&#10;AAAAAAAAAAAAAAAvAQAAX3JlbHMvLnJlbHNQSwECLQAUAAYACAAAACEAYRLEM80BAADpAwAADgAA&#10;AAAAAAAAAAAAAAAuAgAAZHJzL2Uyb0RvYy54bWxQSwECLQAUAAYACAAAACEAdREfbN0AAAAJAQAA&#10;DwAAAAAAAAAAAAAAAAAnBAAAZHJzL2Rvd25yZXYueG1sUEsFBgAAAAAEAAQA8wAAADEFAAAAAA==&#10;" strokecolor="#2e2763" strokeweight="3pt"/>
            </w:pict>
          </mc:Fallback>
        </mc:AlternateContent>
      </w:r>
      <w:r w:rsidR="00276DE9">
        <w:rPr>
          <w:rFonts w:ascii="Arial Narrow" w:hAnsi="Arial Narrow"/>
          <w:b w:val="0"/>
          <w:sz w:val="22"/>
          <w:szCs w:val="22"/>
        </w:rPr>
        <w:softHyphen/>
      </w:r>
    </w:p>
    <w:p w14:paraId="4BF35749" w14:textId="77777777" w:rsidR="00E96621" w:rsidRDefault="00D113DE" w:rsidP="00E96621">
      <w:pPr>
        <w:rPr>
          <w:rFonts w:asciiTheme="minorHAnsi" w:hAnsiTheme="minorHAnsi" w:cs="Tahoma"/>
          <w:b w:val="0"/>
          <w:sz w:val="22"/>
          <w:szCs w:val="22"/>
        </w:rPr>
      </w:pPr>
      <w:r>
        <w:rPr>
          <w:rFonts w:asciiTheme="minorHAnsi" w:hAnsiTheme="minorHAnsi" w:cs="Tahoma"/>
          <w:b w:val="0"/>
          <w:sz w:val="22"/>
          <w:szCs w:val="22"/>
        </w:rPr>
        <w:softHyphen/>
      </w:r>
    </w:p>
    <w:p w14:paraId="08DBC3B0" w14:textId="43C0AA59" w:rsidR="00E96621" w:rsidRPr="00E96621" w:rsidRDefault="00E96621" w:rsidP="00E96621">
      <w:pPr>
        <w:jc w:val="center"/>
        <w:rPr>
          <w:rFonts w:asciiTheme="minorHAnsi" w:hAnsiTheme="minorHAnsi" w:cstheme="minorHAnsi"/>
          <w:b w:val="0"/>
          <w:sz w:val="24"/>
          <w:szCs w:val="24"/>
        </w:rPr>
      </w:pPr>
      <w:r w:rsidRPr="00E96621">
        <w:rPr>
          <w:rFonts w:cstheme="minorHAnsi"/>
          <w:sz w:val="24"/>
          <w:szCs w:val="24"/>
        </w:rPr>
        <w:t>GUIDANCE AND RESOURCES FOR HEALTH CARE PROVIDERS REGARDING THE ACCESSIBILITY OF HEALTH CARE TECHNOLOGY FOR BLIND AND LOW VISION PATIENTS</w:t>
      </w:r>
      <w:r>
        <w:rPr>
          <w:rFonts w:cstheme="minorHAnsi"/>
          <w:sz w:val="24"/>
          <w:szCs w:val="24"/>
        </w:rPr>
        <w:t xml:space="preserve"> (November 2022)</w:t>
      </w:r>
    </w:p>
    <w:p w14:paraId="7FE40FFB" w14:textId="77777777" w:rsidR="00E96621" w:rsidRDefault="00E96621" w:rsidP="00E96621">
      <w:pPr>
        <w:rPr>
          <w:rFonts w:asciiTheme="minorHAnsi" w:hAnsiTheme="minorHAnsi" w:cs="Tahoma"/>
          <w:b w:val="0"/>
          <w:sz w:val="22"/>
          <w:szCs w:val="22"/>
        </w:rPr>
      </w:pPr>
    </w:p>
    <w:p w14:paraId="311A0138" w14:textId="77777777" w:rsidR="00E96621" w:rsidRDefault="00E96621" w:rsidP="00E96621">
      <w:pPr>
        <w:rPr>
          <w:rFonts w:ascii="Calibri" w:eastAsia="Calibri" w:hAnsi="Calibri" w:cs="Calibri"/>
          <w:b w:val="0"/>
          <w:sz w:val="24"/>
          <w:szCs w:val="24"/>
        </w:rPr>
      </w:pPr>
    </w:p>
    <w:p w14:paraId="3FEE161D" w14:textId="29E939A3" w:rsidR="00E96621" w:rsidRPr="00E96621" w:rsidRDefault="00E96621" w:rsidP="00721072">
      <w:pPr>
        <w:tabs>
          <w:tab w:val="left" w:pos="9110"/>
        </w:tabs>
        <w:rPr>
          <w:rFonts w:ascii="Calibri" w:eastAsia="Calibri" w:hAnsi="Calibri" w:cs="Calibri"/>
          <w:b w:val="0"/>
          <w:sz w:val="24"/>
          <w:szCs w:val="24"/>
        </w:rPr>
      </w:pPr>
      <w:r w:rsidRPr="00E96621">
        <w:rPr>
          <w:rFonts w:ascii="Calibri" w:eastAsia="Calibri" w:hAnsi="Calibri" w:cs="Calibri"/>
          <w:b w:val="0"/>
          <w:sz w:val="24"/>
          <w:szCs w:val="24"/>
        </w:rPr>
        <w:t xml:space="preserve">Dear Providers: </w:t>
      </w:r>
      <w:r w:rsidR="00721072">
        <w:rPr>
          <w:rFonts w:ascii="Calibri" w:eastAsia="Calibri" w:hAnsi="Calibri" w:cs="Calibri"/>
          <w:b w:val="0"/>
          <w:sz w:val="24"/>
          <w:szCs w:val="24"/>
        </w:rPr>
        <w:tab/>
      </w:r>
    </w:p>
    <w:p w14:paraId="37880D63" w14:textId="77777777" w:rsidR="00E96621" w:rsidRDefault="00E96621" w:rsidP="00E96621">
      <w:pPr>
        <w:spacing w:after="160" w:line="256" w:lineRule="auto"/>
        <w:rPr>
          <w:rFonts w:ascii="Calibri" w:eastAsia="Calibri" w:hAnsi="Calibri" w:cs="Calibri"/>
          <w:b w:val="0"/>
          <w:sz w:val="24"/>
          <w:szCs w:val="24"/>
        </w:rPr>
      </w:pPr>
    </w:p>
    <w:p w14:paraId="2BD330FA" w14:textId="1751C890" w:rsidR="00E96621" w:rsidRPr="00E96621" w:rsidRDefault="00E96621" w:rsidP="00E96621">
      <w:pPr>
        <w:spacing w:after="160" w:line="256" w:lineRule="auto"/>
        <w:rPr>
          <w:rFonts w:ascii="Calibri" w:eastAsia="Calibri" w:hAnsi="Calibri" w:cs="Calibri"/>
          <w:b w:val="0"/>
          <w:sz w:val="24"/>
          <w:szCs w:val="24"/>
        </w:rPr>
      </w:pPr>
      <w:r w:rsidRPr="00E96621">
        <w:rPr>
          <w:rFonts w:ascii="Calibri" w:eastAsia="Calibri" w:hAnsi="Calibri" w:cs="Calibri"/>
          <w:b w:val="0"/>
          <w:sz w:val="24"/>
          <w:szCs w:val="24"/>
        </w:rPr>
        <w:t>As healthcare becomes increasingly intertwined with technology – from kiosks and patient portals to telehealth appointments – it is imperative that these technologies are accessible to blind and low vision users. This open letter from American Council of the Blind (“ACB”) provides information designed to help you understand and meet your obligations to ensure healthcare is accessible to your blind and low vision patients.</w:t>
      </w:r>
      <w:r w:rsidRPr="00E96621">
        <w:rPr>
          <w:rFonts w:ascii="Calibri" w:eastAsia="Calibri" w:hAnsi="Calibri" w:cs="Calibri"/>
          <w:b w:val="0"/>
          <w:sz w:val="24"/>
          <w:szCs w:val="24"/>
          <w:vertAlign w:val="superscript"/>
        </w:rPr>
        <w:t xml:space="preserve"> </w:t>
      </w:r>
      <w:r w:rsidRPr="00E96621">
        <w:rPr>
          <w:rFonts w:ascii="Calibri" w:eastAsia="Calibri" w:hAnsi="Calibri" w:cs="Calibri"/>
          <w:b w:val="0"/>
          <w:sz w:val="24"/>
          <w:szCs w:val="24"/>
          <w:vertAlign w:val="superscript"/>
        </w:rPr>
        <w:footnoteReference w:id="1"/>
      </w:r>
      <w:r w:rsidRPr="00E96621">
        <w:rPr>
          <w:rFonts w:ascii="Calibri" w:eastAsia="Calibri" w:hAnsi="Calibri" w:cs="Calibri"/>
          <w:b w:val="0"/>
          <w:sz w:val="24"/>
          <w:szCs w:val="24"/>
        </w:rPr>
        <w:t xml:space="preserve">  </w:t>
      </w:r>
    </w:p>
    <w:p w14:paraId="600AA383" w14:textId="77777777" w:rsidR="00E96621" w:rsidRPr="00E96621" w:rsidRDefault="00E96621" w:rsidP="00E96621">
      <w:pPr>
        <w:spacing w:after="160" w:line="256" w:lineRule="auto"/>
        <w:rPr>
          <w:rFonts w:ascii="Calibri" w:eastAsia="Calibri" w:hAnsi="Calibri" w:cs="Calibri"/>
          <w:b w:val="0"/>
          <w:sz w:val="24"/>
          <w:szCs w:val="24"/>
        </w:rPr>
      </w:pPr>
      <w:r w:rsidRPr="00E96621">
        <w:rPr>
          <w:rFonts w:ascii="Calibri" w:eastAsia="Calibri" w:hAnsi="Calibri" w:cs="Calibri"/>
          <w:b w:val="0"/>
          <w:sz w:val="24"/>
          <w:szCs w:val="24"/>
        </w:rPr>
        <w:t xml:space="preserve">As healthcare professionals, we know you strive to provide accessible, quality care to all your patients. You are also subject to several legal requirements to ensure that your services – and the technologies you use to provide them - are accessible.  Failure to do so can result in federal or state investigation or private lawsuits. Most importantly, inaccessible healthcare technologies compromise patient care.  </w:t>
      </w:r>
    </w:p>
    <w:p w14:paraId="132FB761" w14:textId="77777777" w:rsidR="00E96621" w:rsidRPr="00E96621" w:rsidRDefault="00E96621" w:rsidP="00E96621">
      <w:pPr>
        <w:keepNext/>
        <w:keepLines/>
        <w:spacing w:before="240" w:line="256" w:lineRule="auto"/>
        <w:outlineLvl w:val="0"/>
        <w:rPr>
          <w:rFonts w:ascii="Calibri Light" w:hAnsi="Calibri Light" w:cs="Mangal"/>
          <w:b w:val="0"/>
          <w:color w:val="2F5496"/>
          <w:sz w:val="32"/>
          <w:szCs w:val="32"/>
        </w:rPr>
      </w:pPr>
      <w:r w:rsidRPr="00E96621">
        <w:rPr>
          <w:rFonts w:ascii="Calibri Light" w:hAnsi="Calibri Light" w:cs="Mangal"/>
          <w:b w:val="0"/>
          <w:color w:val="2F5496"/>
          <w:sz w:val="32"/>
          <w:szCs w:val="32"/>
        </w:rPr>
        <w:t xml:space="preserve">Accessible Technology for Blind &amp; Low Vision Users </w:t>
      </w:r>
    </w:p>
    <w:p w14:paraId="289AAF19" w14:textId="77777777" w:rsidR="00E96621" w:rsidRPr="00E96621" w:rsidRDefault="00E96621" w:rsidP="00E96621">
      <w:pPr>
        <w:rPr>
          <w:rFonts w:ascii="Calibri" w:eastAsia="Calibri" w:hAnsi="Calibri" w:cs="Calibri"/>
          <w:b w:val="0"/>
          <w:sz w:val="24"/>
          <w:szCs w:val="24"/>
        </w:rPr>
      </w:pPr>
      <w:r w:rsidRPr="00E96621">
        <w:rPr>
          <w:rFonts w:ascii="Calibri" w:eastAsia="Calibri" w:hAnsi="Calibri" w:cs="Calibri"/>
          <w:b w:val="0"/>
          <w:sz w:val="24"/>
          <w:szCs w:val="24"/>
        </w:rPr>
        <w:t xml:space="preserve">Like many blind users of computers and mobile devices, the majority of ACB’s members access digital content using a screen reader, that is, </w:t>
      </w:r>
      <w:bookmarkStart w:id="0" w:name="OLE_LINK78"/>
      <w:bookmarkStart w:id="1" w:name="OLE_LINK79"/>
      <w:r w:rsidRPr="00E96621">
        <w:rPr>
          <w:rFonts w:ascii="Calibri" w:eastAsia="Calibri" w:hAnsi="Calibri" w:cs="Calibri"/>
          <w:b w:val="0"/>
          <w:sz w:val="24"/>
          <w:szCs w:val="24"/>
        </w:rPr>
        <w:t>software built into computer or mobile devices that reads text aloud and audibly delivers navigation cues.</w:t>
      </w:r>
      <w:r w:rsidRPr="00E96621">
        <w:rPr>
          <w:rFonts w:ascii="Calibri" w:eastAsia="Calibri" w:hAnsi="Calibri" w:cs="Calibri"/>
          <w:b w:val="0"/>
          <w:sz w:val="24"/>
          <w:szCs w:val="24"/>
          <w:vertAlign w:val="superscript"/>
        </w:rPr>
        <w:footnoteReference w:id="2"/>
      </w:r>
      <w:r w:rsidRPr="00E96621">
        <w:rPr>
          <w:rFonts w:ascii="Calibri" w:eastAsia="Calibri" w:hAnsi="Calibri" w:cs="Calibri"/>
          <w:b w:val="0"/>
          <w:sz w:val="24"/>
          <w:szCs w:val="24"/>
        </w:rPr>
        <w:t xml:space="preserve"> Many other ACB members, especially those with low vision, </w:t>
      </w:r>
      <w:r w:rsidRPr="00E96621">
        <w:rPr>
          <w:rFonts w:ascii="Calibri" w:eastAsia="Calibri" w:hAnsi="Calibri" w:cs="Calibri"/>
          <w:b w:val="0"/>
          <w:sz w:val="24"/>
          <w:szCs w:val="24"/>
        </w:rPr>
        <w:lastRenderedPageBreak/>
        <w:t>use screen magnification software or will adapt the user interface to provide high contrast between icons, text, and page backgrounds.</w:t>
      </w:r>
    </w:p>
    <w:p w14:paraId="513C2806" w14:textId="77777777" w:rsidR="00E96621" w:rsidRPr="00E96621" w:rsidRDefault="00E96621" w:rsidP="00E96621">
      <w:pPr>
        <w:spacing w:line="256" w:lineRule="auto"/>
        <w:rPr>
          <w:rFonts w:ascii="Calibri" w:eastAsia="Calibri" w:hAnsi="Calibri" w:cs="Calibri"/>
          <w:b w:val="0"/>
          <w:sz w:val="24"/>
          <w:szCs w:val="24"/>
        </w:rPr>
      </w:pPr>
    </w:p>
    <w:p w14:paraId="0BD85522" w14:textId="3F101CB1" w:rsidR="00E96621" w:rsidRPr="00E96621" w:rsidRDefault="00E96621" w:rsidP="00E96621">
      <w:pPr>
        <w:spacing w:line="256" w:lineRule="auto"/>
        <w:rPr>
          <w:rFonts w:ascii="Calibri" w:eastAsia="Calibri" w:hAnsi="Calibri" w:cs="Calibri"/>
          <w:b w:val="0"/>
          <w:sz w:val="24"/>
          <w:szCs w:val="24"/>
        </w:rPr>
      </w:pPr>
      <w:r w:rsidRPr="00E96621">
        <w:rPr>
          <w:rFonts w:ascii="Calibri" w:eastAsia="Calibri" w:hAnsi="Calibri" w:cs="Calibri"/>
          <w:b w:val="0"/>
          <w:sz w:val="24"/>
          <w:szCs w:val="24"/>
        </w:rPr>
        <w:t xml:space="preserve">Screen reader </w:t>
      </w:r>
      <w:r w:rsidR="0052551C">
        <w:rPr>
          <w:rFonts w:ascii="Calibri" w:eastAsia="Calibri" w:hAnsi="Calibri" w:cs="Calibri"/>
          <w:b w:val="0"/>
          <w:sz w:val="24"/>
          <w:szCs w:val="24"/>
        </w:rPr>
        <w:t xml:space="preserve">and magnification </w:t>
      </w:r>
      <w:r w:rsidRPr="00E96621">
        <w:rPr>
          <w:rFonts w:ascii="Calibri" w:eastAsia="Calibri" w:hAnsi="Calibri" w:cs="Calibri"/>
          <w:b w:val="0"/>
          <w:sz w:val="24"/>
          <w:szCs w:val="24"/>
        </w:rPr>
        <w:t>technolog</w:t>
      </w:r>
      <w:r w:rsidR="0052551C">
        <w:rPr>
          <w:rFonts w:ascii="Calibri" w:eastAsia="Calibri" w:hAnsi="Calibri" w:cs="Calibri"/>
          <w:b w:val="0"/>
          <w:sz w:val="24"/>
          <w:szCs w:val="24"/>
        </w:rPr>
        <w:t>ies</w:t>
      </w:r>
      <w:r w:rsidRPr="00E96621">
        <w:rPr>
          <w:rFonts w:ascii="Calibri" w:eastAsia="Calibri" w:hAnsi="Calibri" w:cs="Calibri"/>
          <w:b w:val="0"/>
          <w:sz w:val="24"/>
          <w:szCs w:val="24"/>
        </w:rPr>
        <w:t xml:space="preserve"> do not work when websites, mobile applications, software, and other digital content are not designed and developed with accessibility in mind. Likewise, blind computer users rely on keystrokes, rather than mouse clicks, to choose menu items or otherwise engage with interactive elements of a website or application. These methods </w:t>
      </w:r>
      <w:r w:rsidR="0048604F">
        <w:rPr>
          <w:rFonts w:ascii="Calibri" w:eastAsia="Calibri" w:hAnsi="Calibri" w:cs="Calibri"/>
          <w:b w:val="0"/>
          <w:sz w:val="24"/>
          <w:szCs w:val="24"/>
        </w:rPr>
        <w:t xml:space="preserve">also </w:t>
      </w:r>
      <w:r w:rsidRPr="00E96621">
        <w:rPr>
          <w:rFonts w:ascii="Calibri" w:eastAsia="Calibri" w:hAnsi="Calibri" w:cs="Calibri"/>
          <w:b w:val="0"/>
          <w:sz w:val="24"/>
          <w:szCs w:val="24"/>
        </w:rPr>
        <w:t>may not work when technology is not designed with accessibility in mind. Additionally, if a website or portal uses a color scheme that does not provide sufficient contrast between elements of the screen, such as yellow text on a white background, then low vision users also lack meaningful access.</w:t>
      </w:r>
    </w:p>
    <w:p w14:paraId="0546C2DC" w14:textId="77777777" w:rsidR="00E96621" w:rsidRPr="00E96621" w:rsidRDefault="00E96621" w:rsidP="00E96621">
      <w:pPr>
        <w:spacing w:line="256" w:lineRule="auto"/>
        <w:rPr>
          <w:rFonts w:ascii="Calibri" w:eastAsia="Calibri" w:hAnsi="Calibri" w:cs="Calibri"/>
          <w:b w:val="0"/>
          <w:sz w:val="24"/>
          <w:szCs w:val="24"/>
        </w:rPr>
      </w:pPr>
    </w:p>
    <w:bookmarkEnd w:id="0"/>
    <w:bookmarkEnd w:id="1"/>
    <w:p w14:paraId="06AE2CAB" w14:textId="77777777" w:rsidR="00E96621" w:rsidRPr="00E96621" w:rsidRDefault="00E96621" w:rsidP="00E96621">
      <w:pPr>
        <w:spacing w:line="256" w:lineRule="auto"/>
        <w:rPr>
          <w:rFonts w:ascii="Calibri" w:eastAsia="Calibri" w:hAnsi="Calibri" w:cs="Calibri"/>
          <w:b w:val="0"/>
          <w:sz w:val="24"/>
          <w:szCs w:val="24"/>
        </w:rPr>
      </w:pPr>
      <w:r w:rsidRPr="00E96621">
        <w:rPr>
          <w:rFonts w:ascii="Calibri" w:eastAsia="Calibri" w:hAnsi="Calibri" w:cs="Calibri"/>
          <w:b w:val="0"/>
          <w:sz w:val="24"/>
          <w:szCs w:val="24"/>
        </w:rPr>
        <w:t xml:space="preserve">Members of ACB have encountered barriers to health care when using several technology platforms.  Examples include: </w:t>
      </w:r>
    </w:p>
    <w:p w14:paraId="62F45F2E" w14:textId="77777777" w:rsidR="00E96621" w:rsidRPr="00E96621" w:rsidRDefault="00E96621" w:rsidP="00E96621">
      <w:pPr>
        <w:numPr>
          <w:ilvl w:val="0"/>
          <w:numId w:val="15"/>
        </w:numPr>
        <w:spacing w:after="160" w:line="288" w:lineRule="auto"/>
        <w:contextualSpacing/>
        <w:rPr>
          <w:rFonts w:ascii="Calibri" w:eastAsia="Calibri" w:hAnsi="Calibri" w:cs="Calibri"/>
          <w:b w:val="0"/>
          <w:sz w:val="24"/>
          <w:szCs w:val="24"/>
          <w:lang w:eastAsia="ja-JP"/>
        </w:rPr>
      </w:pPr>
      <w:r w:rsidRPr="00E96621">
        <w:rPr>
          <w:rFonts w:ascii="Calibri" w:eastAsia="Calibri" w:hAnsi="Calibri" w:cs="Calibri"/>
          <w:b w:val="0"/>
          <w:sz w:val="24"/>
          <w:szCs w:val="24"/>
          <w:lang w:eastAsia="ja-JP"/>
        </w:rPr>
        <w:t xml:space="preserve">Inability to send messages to providers or schedule appointments online because interactive elements of provider websites or software are not keyboard accessible, difficult to see, or cannot be magnified by screen magnification software. </w:t>
      </w:r>
    </w:p>
    <w:p w14:paraId="53F4575A" w14:textId="77777777" w:rsidR="00E96621" w:rsidRPr="00E96621" w:rsidRDefault="00E96621" w:rsidP="00E96621">
      <w:pPr>
        <w:numPr>
          <w:ilvl w:val="0"/>
          <w:numId w:val="15"/>
        </w:numPr>
        <w:spacing w:after="160" w:line="288" w:lineRule="auto"/>
        <w:contextualSpacing/>
        <w:rPr>
          <w:rFonts w:ascii="Calibri" w:eastAsia="Calibri" w:hAnsi="Calibri" w:cs="Calibri"/>
          <w:b w:val="0"/>
          <w:sz w:val="24"/>
          <w:szCs w:val="24"/>
          <w:lang w:eastAsia="ja-JP"/>
        </w:rPr>
      </w:pPr>
      <w:r w:rsidRPr="00E96621">
        <w:rPr>
          <w:rFonts w:ascii="Calibri" w:eastAsia="Calibri" w:hAnsi="Calibri" w:cs="Calibri"/>
          <w:b w:val="0"/>
          <w:sz w:val="24"/>
          <w:szCs w:val="24"/>
          <w:lang w:eastAsia="ja-JP"/>
        </w:rPr>
        <w:t xml:space="preserve">Inability to log in to or retrieve information from patient portals due to inappropriate coding in the portal that render the portals incompatible with screen reader software (buttons mislabeled or not labelled, for example). </w:t>
      </w:r>
    </w:p>
    <w:p w14:paraId="5FC80A42" w14:textId="77777777" w:rsidR="00E96621" w:rsidRPr="00E96621" w:rsidRDefault="00E96621" w:rsidP="00E96621">
      <w:pPr>
        <w:numPr>
          <w:ilvl w:val="0"/>
          <w:numId w:val="15"/>
        </w:numPr>
        <w:spacing w:after="160" w:line="288" w:lineRule="auto"/>
        <w:contextualSpacing/>
        <w:rPr>
          <w:rFonts w:ascii="Calibri" w:eastAsia="Calibri" w:hAnsi="Calibri" w:cs="Calibri"/>
          <w:b w:val="0"/>
          <w:sz w:val="24"/>
          <w:szCs w:val="24"/>
          <w:lang w:eastAsia="ja-JP"/>
        </w:rPr>
      </w:pPr>
      <w:r w:rsidRPr="00E96621">
        <w:rPr>
          <w:rFonts w:ascii="Calibri" w:eastAsia="Calibri" w:hAnsi="Calibri" w:cs="Calibri"/>
          <w:b w:val="0"/>
          <w:sz w:val="24"/>
          <w:szCs w:val="24"/>
          <w:lang w:eastAsia="ja-JP"/>
        </w:rPr>
        <w:t xml:space="preserve">Being denied the convenience of telehealth appointments because of inaccessibility of the provider’s telehealth platform.  </w:t>
      </w:r>
    </w:p>
    <w:p w14:paraId="183E7BC4" w14:textId="77777777" w:rsidR="00E96621" w:rsidRPr="00E96621" w:rsidRDefault="00E96621" w:rsidP="00E96621">
      <w:pPr>
        <w:numPr>
          <w:ilvl w:val="0"/>
          <w:numId w:val="15"/>
        </w:numPr>
        <w:spacing w:after="160" w:line="288" w:lineRule="auto"/>
        <w:contextualSpacing/>
        <w:rPr>
          <w:rFonts w:ascii="Calibri" w:eastAsia="Calibri" w:hAnsi="Calibri" w:cs="Calibri"/>
          <w:b w:val="0"/>
          <w:sz w:val="24"/>
          <w:szCs w:val="24"/>
          <w:lang w:eastAsia="ja-JP"/>
        </w:rPr>
      </w:pPr>
      <w:r w:rsidRPr="00E96621">
        <w:rPr>
          <w:rFonts w:ascii="Calibri" w:eastAsia="Calibri" w:hAnsi="Calibri" w:cs="Calibri"/>
          <w:b w:val="0"/>
          <w:sz w:val="24"/>
          <w:szCs w:val="24"/>
          <w:lang w:eastAsia="ja-JP"/>
        </w:rPr>
        <w:t>Inability to independently use check-in kiosks at health care facilities because such kiosks often lack:</w:t>
      </w:r>
    </w:p>
    <w:p w14:paraId="301ED65C" w14:textId="2245B094" w:rsidR="00E96621" w:rsidRPr="00E96621" w:rsidRDefault="00E96621" w:rsidP="00E96621">
      <w:pPr>
        <w:numPr>
          <w:ilvl w:val="1"/>
          <w:numId w:val="15"/>
        </w:numPr>
        <w:spacing w:after="160" w:line="288" w:lineRule="auto"/>
        <w:contextualSpacing/>
        <w:rPr>
          <w:rFonts w:ascii="Calibri" w:eastAsia="Calibri" w:hAnsi="Calibri" w:cs="Calibri"/>
          <w:b w:val="0"/>
          <w:sz w:val="24"/>
          <w:szCs w:val="24"/>
          <w:lang w:eastAsia="ja-JP"/>
        </w:rPr>
      </w:pPr>
      <w:r w:rsidRPr="00E96621">
        <w:rPr>
          <w:rFonts w:ascii="Calibri" w:eastAsia="Calibri" w:hAnsi="Calibri" w:cs="Calibri"/>
          <w:b w:val="0"/>
          <w:sz w:val="24"/>
          <w:szCs w:val="24"/>
          <w:lang w:eastAsia="ja-JP"/>
        </w:rPr>
        <w:t xml:space="preserve">speech </w:t>
      </w:r>
      <w:proofErr w:type="gramStart"/>
      <w:r w:rsidRPr="00E96621">
        <w:rPr>
          <w:rFonts w:ascii="Calibri" w:eastAsia="Calibri" w:hAnsi="Calibri" w:cs="Calibri"/>
          <w:b w:val="0"/>
          <w:sz w:val="24"/>
          <w:szCs w:val="24"/>
          <w:lang w:eastAsia="ja-JP"/>
        </w:rPr>
        <w:t>output</w:t>
      </w:r>
      <w:r w:rsidR="001D7B5B">
        <w:rPr>
          <w:rFonts w:ascii="Calibri" w:eastAsia="Calibri" w:hAnsi="Calibri" w:cs="Calibri"/>
          <w:b w:val="0"/>
          <w:sz w:val="24"/>
          <w:szCs w:val="24"/>
          <w:lang w:eastAsia="ja-JP"/>
        </w:rPr>
        <w:t>;</w:t>
      </w:r>
      <w:proofErr w:type="gramEnd"/>
      <w:r w:rsidRPr="00E96621">
        <w:rPr>
          <w:rFonts w:ascii="Calibri" w:eastAsia="Calibri" w:hAnsi="Calibri" w:cs="Calibri"/>
          <w:b w:val="0"/>
          <w:sz w:val="24"/>
          <w:szCs w:val="24"/>
          <w:lang w:eastAsia="ja-JP"/>
        </w:rPr>
        <w:t xml:space="preserve"> </w:t>
      </w:r>
    </w:p>
    <w:p w14:paraId="2A125E31" w14:textId="5127F9AD" w:rsidR="00E96621" w:rsidRPr="00E96621" w:rsidRDefault="00E96621" w:rsidP="00E96621">
      <w:pPr>
        <w:numPr>
          <w:ilvl w:val="1"/>
          <w:numId w:val="15"/>
        </w:numPr>
        <w:spacing w:after="160" w:line="288" w:lineRule="auto"/>
        <w:contextualSpacing/>
        <w:rPr>
          <w:rFonts w:ascii="Calibri" w:eastAsia="Calibri" w:hAnsi="Calibri" w:cs="Calibri"/>
          <w:b w:val="0"/>
          <w:sz w:val="24"/>
          <w:szCs w:val="24"/>
          <w:lang w:eastAsia="ja-JP"/>
        </w:rPr>
      </w:pPr>
      <w:r w:rsidRPr="00E96621">
        <w:rPr>
          <w:rFonts w:ascii="Calibri" w:eastAsia="Calibri" w:hAnsi="Calibri" w:cs="Calibri"/>
          <w:b w:val="0"/>
          <w:sz w:val="24"/>
          <w:szCs w:val="24"/>
          <w:lang w:eastAsia="ja-JP"/>
        </w:rPr>
        <w:t xml:space="preserve">braille and large print instructions to indicate how to activate accessibility </w:t>
      </w:r>
      <w:proofErr w:type="gramStart"/>
      <w:r w:rsidRPr="00E96621">
        <w:rPr>
          <w:rFonts w:ascii="Calibri" w:eastAsia="Calibri" w:hAnsi="Calibri" w:cs="Calibri"/>
          <w:b w:val="0"/>
          <w:sz w:val="24"/>
          <w:szCs w:val="24"/>
          <w:lang w:eastAsia="ja-JP"/>
        </w:rPr>
        <w:t>settings</w:t>
      </w:r>
      <w:r w:rsidR="001D7B5B">
        <w:rPr>
          <w:rFonts w:ascii="Calibri" w:eastAsia="Calibri" w:hAnsi="Calibri" w:cs="Calibri"/>
          <w:b w:val="0"/>
          <w:sz w:val="24"/>
          <w:szCs w:val="24"/>
          <w:lang w:eastAsia="ja-JP"/>
        </w:rPr>
        <w:t>;</w:t>
      </w:r>
      <w:proofErr w:type="gramEnd"/>
    </w:p>
    <w:p w14:paraId="1DB43E51" w14:textId="3C685A25" w:rsidR="00E96621" w:rsidRPr="00E96621" w:rsidRDefault="00E96621" w:rsidP="00E96621">
      <w:pPr>
        <w:numPr>
          <w:ilvl w:val="1"/>
          <w:numId w:val="15"/>
        </w:numPr>
        <w:spacing w:after="160" w:line="288" w:lineRule="auto"/>
        <w:contextualSpacing/>
        <w:rPr>
          <w:rFonts w:ascii="Calibri" w:eastAsia="Calibri" w:hAnsi="Calibri" w:cs="Calibri"/>
          <w:b w:val="0"/>
          <w:sz w:val="24"/>
          <w:szCs w:val="24"/>
          <w:lang w:eastAsia="ja-JP"/>
        </w:rPr>
      </w:pPr>
      <w:r w:rsidRPr="00E96621">
        <w:rPr>
          <w:rFonts w:ascii="Calibri" w:eastAsia="Calibri" w:hAnsi="Calibri" w:cs="Calibri"/>
          <w:b w:val="0"/>
          <w:sz w:val="24"/>
          <w:szCs w:val="24"/>
          <w:lang w:eastAsia="ja-JP"/>
        </w:rPr>
        <w:t xml:space="preserve">tactile </w:t>
      </w:r>
      <w:proofErr w:type="gramStart"/>
      <w:r w:rsidRPr="00E96621">
        <w:rPr>
          <w:rFonts w:ascii="Calibri" w:eastAsia="Calibri" w:hAnsi="Calibri" w:cs="Calibri"/>
          <w:b w:val="0"/>
          <w:sz w:val="24"/>
          <w:szCs w:val="24"/>
          <w:lang w:eastAsia="ja-JP"/>
        </w:rPr>
        <w:t>controls</w:t>
      </w:r>
      <w:r w:rsidR="001D7B5B">
        <w:rPr>
          <w:rFonts w:ascii="Calibri" w:eastAsia="Calibri" w:hAnsi="Calibri" w:cs="Calibri"/>
          <w:b w:val="0"/>
          <w:sz w:val="24"/>
          <w:szCs w:val="24"/>
          <w:lang w:eastAsia="ja-JP"/>
        </w:rPr>
        <w:t>;</w:t>
      </w:r>
      <w:proofErr w:type="gramEnd"/>
    </w:p>
    <w:p w14:paraId="26C76BF7" w14:textId="55A76428" w:rsidR="00E96621" w:rsidRPr="00E96621" w:rsidRDefault="001D7B5B" w:rsidP="00E96621">
      <w:pPr>
        <w:numPr>
          <w:ilvl w:val="1"/>
          <w:numId w:val="15"/>
        </w:numPr>
        <w:spacing w:after="160" w:line="288" w:lineRule="auto"/>
        <w:contextualSpacing/>
        <w:rPr>
          <w:rFonts w:ascii="Calibri" w:eastAsia="Calibri" w:hAnsi="Calibri" w:cs="Calibri"/>
          <w:b w:val="0"/>
          <w:sz w:val="24"/>
          <w:szCs w:val="24"/>
          <w:lang w:eastAsia="ja-JP"/>
        </w:rPr>
      </w:pPr>
      <w:r>
        <w:rPr>
          <w:rFonts w:ascii="Calibri" w:eastAsia="Calibri" w:hAnsi="Calibri" w:cs="Calibri"/>
          <w:b w:val="0"/>
          <w:sz w:val="24"/>
          <w:szCs w:val="24"/>
          <w:lang w:eastAsia="ja-JP"/>
        </w:rPr>
        <w:t xml:space="preserve">the </w:t>
      </w:r>
      <w:r w:rsidR="00E96621" w:rsidRPr="00E96621">
        <w:rPr>
          <w:rFonts w:ascii="Calibri" w:eastAsia="Calibri" w:hAnsi="Calibri" w:cs="Calibri"/>
          <w:b w:val="0"/>
          <w:sz w:val="24"/>
          <w:szCs w:val="24"/>
          <w:lang w:eastAsia="ja-JP"/>
        </w:rPr>
        <w:t>ability to zoom in on screen; and</w:t>
      </w:r>
    </w:p>
    <w:p w14:paraId="4B85A198" w14:textId="77777777" w:rsidR="00E96621" w:rsidRPr="00E96621" w:rsidRDefault="00E96621" w:rsidP="00E96621">
      <w:pPr>
        <w:numPr>
          <w:ilvl w:val="1"/>
          <w:numId w:val="15"/>
        </w:numPr>
        <w:spacing w:after="160" w:line="288" w:lineRule="auto"/>
        <w:contextualSpacing/>
        <w:rPr>
          <w:rFonts w:ascii="Calibri" w:eastAsia="Calibri" w:hAnsi="Calibri" w:cs="Calibri"/>
          <w:b w:val="0"/>
          <w:sz w:val="24"/>
          <w:szCs w:val="24"/>
          <w:lang w:eastAsia="ja-JP"/>
        </w:rPr>
      </w:pPr>
      <w:r w:rsidRPr="00E96621">
        <w:rPr>
          <w:rFonts w:ascii="Calibri" w:eastAsia="Calibri" w:hAnsi="Calibri" w:cs="Calibri"/>
          <w:b w:val="0"/>
          <w:sz w:val="24"/>
          <w:szCs w:val="24"/>
          <w:lang w:eastAsia="ja-JP"/>
        </w:rPr>
        <w:t xml:space="preserve">volume control and the ability to repeat speech.  </w:t>
      </w:r>
      <w:r w:rsidRPr="00E96621">
        <w:rPr>
          <w:rFonts w:ascii="Calibri" w:eastAsia="Calibri" w:hAnsi="Calibri" w:cs="Calibri"/>
          <w:b w:val="0"/>
          <w:sz w:val="24"/>
          <w:szCs w:val="24"/>
          <w:lang w:eastAsia="ja-JP"/>
        </w:rPr>
        <w:br/>
      </w:r>
    </w:p>
    <w:p w14:paraId="60952D44" w14:textId="77777777" w:rsidR="00E96621" w:rsidRPr="00E96621" w:rsidRDefault="00E96621" w:rsidP="00E96621">
      <w:pPr>
        <w:spacing w:line="256" w:lineRule="auto"/>
        <w:rPr>
          <w:rFonts w:ascii="Calibri" w:eastAsia="Calibri" w:hAnsi="Calibri" w:cs="Calibri"/>
          <w:b w:val="0"/>
          <w:sz w:val="24"/>
          <w:szCs w:val="24"/>
        </w:rPr>
      </w:pPr>
      <w:r w:rsidRPr="00E96621">
        <w:rPr>
          <w:rFonts w:ascii="Calibri" w:eastAsia="Calibri" w:hAnsi="Calibri" w:cs="Calibri"/>
          <w:b w:val="0"/>
          <w:sz w:val="24"/>
          <w:szCs w:val="24"/>
        </w:rPr>
        <w:t xml:space="preserve">None of these outcomes is conducive to good patient care.  They are also illegal, as described below. </w:t>
      </w:r>
    </w:p>
    <w:p w14:paraId="55F67CDE" w14:textId="77777777" w:rsidR="00E96621" w:rsidRPr="00E96621" w:rsidRDefault="00E96621" w:rsidP="00E96621">
      <w:pPr>
        <w:spacing w:line="256" w:lineRule="auto"/>
        <w:rPr>
          <w:rFonts w:ascii="Calibri" w:eastAsia="Calibri" w:hAnsi="Calibri" w:cs="Calibri"/>
          <w:b w:val="0"/>
          <w:sz w:val="24"/>
          <w:szCs w:val="24"/>
        </w:rPr>
      </w:pPr>
    </w:p>
    <w:p w14:paraId="6C213174" w14:textId="77777777" w:rsidR="00E96621" w:rsidRPr="00E96621" w:rsidRDefault="00E96621" w:rsidP="00E96621">
      <w:pPr>
        <w:spacing w:line="256" w:lineRule="auto"/>
        <w:rPr>
          <w:rFonts w:ascii="Calibri" w:eastAsia="Calibri" w:hAnsi="Calibri" w:cs="Calibri"/>
          <w:b w:val="0"/>
          <w:sz w:val="24"/>
          <w:szCs w:val="24"/>
        </w:rPr>
      </w:pPr>
      <w:r w:rsidRPr="00E96621">
        <w:rPr>
          <w:rFonts w:ascii="Calibri" w:eastAsia="Calibri" w:hAnsi="Calibri" w:cs="Calibri"/>
          <w:b w:val="0"/>
          <w:sz w:val="24"/>
          <w:szCs w:val="24"/>
        </w:rPr>
        <w:t xml:space="preserve">To avoid these pitfalls, ACB recommends that: </w:t>
      </w:r>
    </w:p>
    <w:p w14:paraId="5073230E" w14:textId="77777777" w:rsidR="00E96621" w:rsidRPr="00E96621" w:rsidRDefault="00E96621" w:rsidP="00E96621">
      <w:pPr>
        <w:spacing w:line="256" w:lineRule="auto"/>
        <w:rPr>
          <w:rFonts w:ascii="Calibri" w:eastAsia="Calibri" w:hAnsi="Calibri" w:cs="Calibri"/>
          <w:b w:val="0"/>
          <w:sz w:val="24"/>
          <w:szCs w:val="24"/>
        </w:rPr>
      </w:pPr>
    </w:p>
    <w:p w14:paraId="6C14A9EC" w14:textId="43947C1D" w:rsidR="00E96621" w:rsidRPr="00E96621" w:rsidRDefault="005E6D8D" w:rsidP="00E96621">
      <w:pPr>
        <w:numPr>
          <w:ilvl w:val="0"/>
          <w:numId w:val="16"/>
        </w:numPr>
        <w:spacing w:after="160" w:line="288" w:lineRule="auto"/>
        <w:contextualSpacing/>
        <w:rPr>
          <w:rFonts w:ascii="Calibri" w:eastAsia="Calibri" w:hAnsi="Calibri" w:cs="Calibri"/>
          <w:b w:val="0"/>
          <w:sz w:val="24"/>
          <w:szCs w:val="24"/>
          <w:lang w:eastAsia="ja-JP"/>
        </w:rPr>
      </w:pPr>
      <w:r>
        <w:rPr>
          <w:rFonts w:ascii="Calibri" w:eastAsia="Calibri" w:hAnsi="Calibri" w:cs="Calibri"/>
          <w:b w:val="0"/>
          <w:sz w:val="24"/>
          <w:szCs w:val="24"/>
          <w:lang w:eastAsia="ja-JP"/>
        </w:rPr>
        <w:t>When p</w:t>
      </w:r>
      <w:r w:rsidR="00E96621" w:rsidRPr="00E96621">
        <w:rPr>
          <w:rFonts w:ascii="Calibri" w:eastAsia="Calibri" w:hAnsi="Calibri" w:cs="Calibri"/>
          <w:b w:val="0"/>
          <w:sz w:val="24"/>
          <w:szCs w:val="24"/>
          <w:lang w:eastAsia="ja-JP"/>
        </w:rPr>
        <w:t xml:space="preserve">roviders purchase health care technologies from third party vendors </w:t>
      </w:r>
      <w:r>
        <w:rPr>
          <w:rFonts w:ascii="Calibri" w:eastAsia="Calibri" w:hAnsi="Calibri" w:cs="Calibri"/>
          <w:b w:val="0"/>
          <w:sz w:val="24"/>
          <w:szCs w:val="24"/>
          <w:lang w:eastAsia="ja-JP"/>
        </w:rPr>
        <w:t xml:space="preserve">they </w:t>
      </w:r>
      <w:r w:rsidR="00E96621" w:rsidRPr="00E96621">
        <w:rPr>
          <w:rFonts w:ascii="Calibri" w:eastAsia="Calibri" w:hAnsi="Calibri" w:cs="Calibri"/>
          <w:b w:val="0"/>
          <w:sz w:val="24"/>
          <w:szCs w:val="24"/>
          <w:lang w:eastAsia="ja-JP"/>
        </w:rPr>
        <w:t xml:space="preserve">should consider, prior to finalizing their selection, whether the technology will be accessible to all users.  Currently, commercially available patient portals, telehealth solutions, and kiosks vary widely in </w:t>
      </w:r>
      <w:r w:rsidR="00E96621" w:rsidRPr="00E96621">
        <w:rPr>
          <w:rFonts w:ascii="Calibri" w:eastAsia="Calibri" w:hAnsi="Calibri" w:cs="Calibri"/>
          <w:b w:val="0"/>
          <w:sz w:val="24"/>
          <w:szCs w:val="24"/>
          <w:lang w:eastAsia="ja-JP"/>
        </w:rPr>
        <w:lastRenderedPageBreak/>
        <w:t xml:space="preserve">their level of accessibility.  </w:t>
      </w:r>
      <w:r w:rsidR="00E96621" w:rsidRPr="00E96621">
        <w:rPr>
          <w:rFonts w:ascii="Calibri" w:eastAsia="Calibri" w:hAnsi="Calibri" w:cs="Calibri"/>
          <w:bCs/>
          <w:sz w:val="24"/>
          <w:szCs w:val="24"/>
          <w:lang w:eastAsia="ja-JP"/>
        </w:rPr>
        <w:t>Health care providers are responsible for selecting and implementing accessible technology</w:t>
      </w:r>
      <w:r w:rsidR="00E96621" w:rsidRPr="00E96621">
        <w:rPr>
          <w:rFonts w:ascii="Calibri" w:eastAsia="Calibri" w:hAnsi="Calibri" w:cs="Calibri"/>
          <w:b w:val="0"/>
          <w:sz w:val="24"/>
          <w:szCs w:val="24"/>
          <w:lang w:eastAsia="ja-JP"/>
        </w:rPr>
        <w:t xml:space="preserve">.  </w:t>
      </w:r>
    </w:p>
    <w:p w14:paraId="6FC7BAC4" w14:textId="77777777" w:rsidR="00E96621" w:rsidRPr="00E96621" w:rsidRDefault="00E96621" w:rsidP="00E96621">
      <w:pPr>
        <w:numPr>
          <w:ilvl w:val="0"/>
          <w:numId w:val="16"/>
        </w:numPr>
        <w:spacing w:after="160" w:line="288" w:lineRule="auto"/>
        <w:contextualSpacing/>
        <w:rPr>
          <w:rFonts w:ascii="Calibri" w:eastAsia="Calibri" w:hAnsi="Calibri" w:cs="Calibri"/>
          <w:b w:val="0"/>
          <w:sz w:val="24"/>
          <w:szCs w:val="24"/>
        </w:rPr>
      </w:pPr>
      <w:r w:rsidRPr="00E96621">
        <w:rPr>
          <w:rFonts w:ascii="Calibri" w:eastAsia="Calibri" w:hAnsi="Calibri" w:cs="Calibri"/>
          <w:b w:val="0"/>
          <w:sz w:val="24"/>
          <w:szCs w:val="24"/>
          <w:lang w:eastAsia="ja-JP"/>
        </w:rPr>
        <w:t>Websites and other mobile applications, including patient portals and telehealth applications, should be designed with accessibility in mind, regardless of</w:t>
      </w:r>
      <w:r w:rsidRPr="00E96621">
        <w:rPr>
          <w:rFonts w:ascii="Calibri" w:hAnsi="Calibri" w:cs="Calibri"/>
          <w:b w:val="0"/>
          <w:sz w:val="24"/>
          <w:szCs w:val="24"/>
          <w:lang w:eastAsia="ja-JP"/>
        </w:rPr>
        <w:t xml:space="preserve"> whether these components are </w:t>
      </w:r>
      <w:r w:rsidRPr="00E96621">
        <w:rPr>
          <w:rFonts w:ascii="Calibri" w:eastAsia="Calibri" w:hAnsi="Calibri" w:cs="Calibri"/>
          <w:b w:val="0"/>
          <w:sz w:val="24"/>
          <w:szCs w:val="24"/>
          <w:lang w:eastAsia="ja-JP"/>
        </w:rPr>
        <w:t xml:space="preserve">developed in house or by a third party. This includes: </w:t>
      </w:r>
    </w:p>
    <w:p w14:paraId="5C54F11B" w14:textId="77777777" w:rsidR="00E96621" w:rsidRPr="00E96621" w:rsidRDefault="00E96621" w:rsidP="00E96621">
      <w:pPr>
        <w:numPr>
          <w:ilvl w:val="1"/>
          <w:numId w:val="16"/>
        </w:numPr>
        <w:spacing w:after="160" w:line="288" w:lineRule="auto"/>
        <w:contextualSpacing/>
        <w:rPr>
          <w:rFonts w:ascii="Calibri" w:eastAsia="Calibri" w:hAnsi="Calibri" w:cs="Calibri"/>
          <w:b w:val="0"/>
          <w:sz w:val="24"/>
          <w:szCs w:val="24"/>
        </w:rPr>
      </w:pPr>
      <w:r w:rsidRPr="00E96621">
        <w:rPr>
          <w:rFonts w:ascii="Calibri" w:hAnsi="Calibri" w:cs="Calibri"/>
          <w:b w:val="0"/>
          <w:sz w:val="24"/>
          <w:szCs w:val="24"/>
          <w:lang w:eastAsia="ja-JP"/>
        </w:rPr>
        <w:t xml:space="preserve">Consulting with blind and low vision individuals during design, development, and testing of user experiences; and </w:t>
      </w:r>
    </w:p>
    <w:p w14:paraId="41B2750C" w14:textId="77777777" w:rsidR="00E96621" w:rsidRPr="00E96621" w:rsidRDefault="00E96621" w:rsidP="00E96621">
      <w:pPr>
        <w:numPr>
          <w:ilvl w:val="1"/>
          <w:numId w:val="16"/>
        </w:numPr>
        <w:spacing w:after="160" w:line="288" w:lineRule="auto"/>
        <w:contextualSpacing/>
        <w:rPr>
          <w:rFonts w:ascii="Calibri" w:eastAsia="Calibri" w:hAnsi="Calibri" w:cs="Calibri"/>
          <w:b w:val="0"/>
          <w:sz w:val="24"/>
          <w:szCs w:val="24"/>
        </w:rPr>
      </w:pPr>
      <w:r w:rsidRPr="00E96621">
        <w:rPr>
          <w:rFonts w:ascii="Calibri" w:hAnsi="Calibri" w:cs="Calibri"/>
          <w:b w:val="0"/>
          <w:sz w:val="24"/>
          <w:szCs w:val="24"/>
          <w:lang w:eastAsia="ja-JP"/>
        </w:rPr>
        <w:t xml:space="preserve">Adherence to </w:t>
      </w:r>
      <w:bookmarkStart w:id="2" w:name="_Hlk116981396"/>
      <w:r w:rsidRPr="00E96621">
        <w:rPr>
          <w:rFonts w:ascii="Calibri" w:hAnsi="Calibri" w:cs="Mangal"/>
          <w:b w:val="0"/>
          <w:sz w:val="24"/>
          <w:szCs w:val="24"/>
          <w:lang w:eastAsia="ja-JP"/>
        </w:rPr>
        <w:fldChar w:fldCharType="begin"/>
      </w:r>
      <w:r w:rsidRPr="00E96621">
        <w:rPr>
          <w:rFonts w:ascii="Calibri" w:hAnsi="Calibri" w:cs="Mangal"/>
          <w:b w:val="0"/>
          <w:sz w:val="24"/>
          <w:szCs w:val="24"/>
          <w:lang w:eastAsia="ja-JP"/>
        </w:rPr>
        <w:instrText xml:space="preserve"> HYPERLINK "https://www.w3.org/TR/WCAG21/" </w:instrText>
      </w:r>
      <w:r w:rsidRPr="00E96621">
        <w:rPr>
          <w:rFonts w:ascii="Calibri" w:hAnsi="Calibri" w:cs="Mangal"/>
          <w:b w:val="0"/>
          <w:sz w:val="24"/>
          <w:szCs w:val="24"/>
          <w:lang w:eastAsia="ja-JP"/>
        </w:rPr>
      </w:r>
      <w:r w:rsidRPr="00E96621">
        <w:rPr>
          <w:rFonts w:ascii="Calibri" w:hAnsi="Calibri" w:cs="Mangal"/>
          <w:b w:val="0"/>
          <w:sz w:val="24"/>
          <w:szCs w:val="24"/>
          <w:lang w:eastAsia="ja-JP"/>
        </w:rPr>
        <w:fldChar w:fldCharType="separate"/>
      </w:r>
      <w:r w:rsidRPr="00E96621">
        <w:rPr>
          <w:rFonts w:ascii="Calibri" w:hAnsi="Calibri" w:cs="Calibri"/>
          <w:b w:val="0"/>
          <w:color w:val="0000FF"/>
          <w:sz w:val="24"/>
          <w:szCs w:val="24"/>
          <w:u w:val="single"/>
          <w:lang w:eastAsia="ja-JP"/>
        </w:rPr>
        <w:t>Web Content Accessibility Guidelines (WCAG) 2.1</w:t>
      </w:r>
      <w:r w:rsidRPr="00E96621">
        <w:rPr>
          <w:rFonts w:ascii="Calibri" w:hAnsi="Calibri" w:cs="Mangal"/>
          <w:b w:val="0"/>
          <w:sz w:val="24"/>
          <w:szCs w:val="24"/>
          <w:lang w:eastAsia="ja-JP"/>
        </w:rPr>
        <w:fldChar w:fldCharType="end"/>
      </w:r>
      <w:bookmarkEnd w:id="2"/>
      <w:r w:rsidRPr="00E96621">
        <w:rPr>
          <w:rFonts w:ascii="Calibri" w:hAnsi="Calibri" w:cs="Calibri"/>
          <w:b w:val="0"/>
          <w:color w:val="0000FF"/>
          <w:sz w:val="24"/>
          <w:szCs w:val="24"/>
          <w:u w:val="single"/>
          <w:vertAlign w:val="superscript"/>
          <w:lang w:eastAsia="ja-JP"/>
        </w:rPr>
        <w:footnoteReference w:id="3"/>
      </w:r>
      <w:r w:rsidRPr="00E96621">
        <w:rPr>
          <w:rFonts w:ascii="Calibri" w:hAnsi="Calibri" w:cs="Calibri"/>
          <w:b w:val="0"/>
          <w:sz w:val="24"/>
          <w:szCs w:val="24"/>
          <w:lang w:eastAsia="ja-JP"/>
        </w:rPr>
        <w:t xml:space="preserve">, conformance level AA for website and mobile applications.  </w:t>
      </w:r>
    </w:p>
    <w:p w14:paraId="764117D6" w14:textId="77777777" w:rsidR="00E96621" w:rsidRPr="00E96621" w:rsidRDefault="00E96621" w:rsidP="00E96621">
      <w:pPr>
        <w:numPr>
          <w:ilvl w:val="0"/>
          <w:numId w:val="16"/>
        </w:numPr>
        <w:spacing w:after="160" w:line="288" w:lineRule="auto"/>
        <w:contextualSpacing/>
        <w:rPr>
          <w:rFonts w:ascii="Calibri" w:eastAsia="Calibri" w:hAnsi="Calibri" w:cs="Calibri"/>
          <w:b w:val="0"/>
          <w:sz w:val="24"/>
          <w:szCs w:val="24"/>
        </w:rPr>
      </w:pPr>
      <w:r w:rsidRPr="00E96621">
        <w:rPr>
          <w:rFonts w:ascii="Calibri" w:eastAsia="Calibri" w:hAnsi="Calibri" w:cs="Calibri"/>
          <w:b w:val="0"/>
          <w:sz w:val="24"/>
          <w:szCs w:val="24"/>
          <w:lang w:eastAsia="ja-JP"/>
        </w:rPr>
        <w:t xml:space="preserve">Email and other electronic communications sent by providers should be compatible with screen reader software and accessible to low vision users. Many online tools and tutorials are available to help providers achieve this result. For example: </w:t>
      </w:r>
      <w:hyperlink r:id="rId9" w:history="1">
        <w:r w:rsidRPr="00E96621">
          <w:rPr>
            <w:rFonts w:ascii="Calibri" w:hAnsi="Calibri" w:cs="Calibri"/>
            <w:b w:val="0"/>
            <w:color w:val="0000FF"/>
            <w:sz w:val="24"/>
            <w:szCs w:val="24"/>
            <w:u w:val="single"/>
            <w:lang w:eastAsia="ja-JP"/>
          </w:rPr>
          <w:t>10 Habits to create accessible content - Microsoft Accessibility Blog</w:t>
        </w:r>
      </w:hyperlink>
      <w:r w:rsidRPr="00E96621">
        <w:rPr>
          <w:rFonts w:ascii="Calibri" w:hAnsi="Calibri" w:cs="Calibri"/>
          <w:b w:val="0"/>
          <w:sz w:val="24"/>
          <w:szCs w:val="24"/>
          <w:lang w:eastAsia="ja-JP"/>
        </w:rPr>
        <w:t>.</w:t>
      </w:r>
      <w:r w:rsidRPr="00E96621">
        <w:rPr>
          <w:rFonts w:ascii="Calibri" w:hAnsi="Calibri" w:cs="Calibri"/>
          <w:b w:val="0"/>
          <w:sz w:val="24"/>
          <w:szCs w:val="24"/>
          <w:vertAlign w:val="superscript"/>
          <w:lang w:eastAsia="ja-JP"/>
        </w:rPr>
        <w:footnoteReference w:id="4"/>
      </w:r>
      <w:r w:rsidRPr="00E96621">
        <w:rPr>
          <w:rFonts w:ascii="Calibri" w:hAnsi="Calibri" w:cs="Calibri"/>
          <w:b w:val="0"/>
          <w:sz w:val="24"/>
          <w:szCs w:val="24"/>
          <w:lang w:eastAsia="ja-JP"/>
        </w:rPr>
        <w:t xml:space="preserve">  </w:t>
      </w:r>
    </w:p>
    <w:p w14:paraId="3A3C5BB6" w14:textId="77777777" w:rsidR="00E96621" w:rsidRPr="00E96621" w:rsidRDefault="00E96621" w:rsidP="00E96621">
      <w:pPr>
        <w:numPr>
          <w:ilvl w:val="0"/>
          <w:numId w:val="16"/>
        </w:numPr>
        <w:spacing w:after="160" w:line="288" w:lineRule="auto"/>
        <w:contextualSpacing/>
        <w:rPr>
          <w:rFonts w:ascii="Calibri" w:eastAsia="Calibri" w:hAnsi="Calibri" w:cs="Calibri"/>
          <w:b w:val="0"/>
          <w:sz w:val="24"/>
          <w:szCs w:val="24"/>
        </w:rPr>
      </w:pPr>
      <w:r w:rsidRPr="00E96621">
        <w:rPr>
          <w:rFonts w:ascii="Calibri" w:hAnsi="Calibri" w:cs="Calibri"/>
          <w:b w:val="0"/>
          <w:sz w:val="24"/>
          <w:szCs w:val="24"/>
          <w:lang w:eastAsia="ja-JP"/>
        </w:rPr>
        <w:t xml:space="preserve">Where accessibility issues in provider technology hinder patient care, providers should take prompt action to remediate the issues.  Providers should offer an alternative modality to provide equivalent care while the technology is remediated. Methods which violate patient privacy, including HIPAA regulations, such as by requesting patients to share passwords or private information with sighted assistants are </w:t>
      </w:r>
      <w:r w:rsidRPr="00E96621">
        <w:rPr>
          <w:rFonts w:ascii="Calibri" w:hAnsi="Calibri" w:cs="Calibri"/>
          <w:b w:val="0"/>
          <w:i/>
          <w:iCs/>
          <w:sz w:val="24"/>
          <w:szCs w:val="24"/>
          <w:lang w:eastAsia="ja-JP"/>
        </w:rPr>
        <w:t>not</w:t>
      </w:r>
      <w:r w:rsidRPr="00E96621">
        <w:rPr>
          <w:rFonts w:ascii="Calibri" w:hAnsi="Calibri" w:cs="Calibri"/>
          <w:b w:val="0"/>
          <w:sz w:val="24"/>
          <w:szCs w:val="24"/>
          <w:lang w:eastAsia="ja-JP"/>
        </w:rPr>
        <w:t xml:space="preserve"> acceptable.  </w:t>
      </w:r>
    </w:p>
    <w:p w14:paraId="38972F68" w14:textId="77777777" w:rsidR="00E96621" w:rsidRPr="00E96621" w:rsidRDefault="00E96621" w:rsidP="00E96621">
      <w:pPr>
        <w:keepNext/>
        <w:keepLines/>
        <w:spacing w:before="240" w:line="256" w:lineRule="auto"/>
        <w:outlineLvl w:val="0"/>
        <w:rPr>
          <w:rFonts w:ascii="Calibri Light" w:hAnsi="Calibri Light" w:cs="Mangal"/>
          <w:b w:val="0"/>
          <w:color w:val="2F5496"/>
          <w:sz w:val="32"/>
          <w:szCs w:val="32"/>
        </w:rPr>
      </w:pPr>
      <w:r w:rsidRPr="00E96621">
        <w:rPr>
          <w:rFonts w:ascii="Calibri Light" w:hAnsi="Calibri Light" w:cs="Mangal"/>
          <w:b w:val="0"/>
          <w:color w:val="2F5496"/>
          <w:sz w:val="32"/>
          <w:szCs w:val="32"/>
        </w:rPr>
        <w:t xml:space="preserve">Legal Requirements </w:t>
      </w:r>
    </w:p>
    <w:p w14:paraId="1B027DE7" w14:textId="77777777" w:rsidR="00E96621" w:rsidRPr="00E96621" w:rsidRDefault="00E96621" w:rsidP="00E96621">
      <w:pPr>
        <w:spacing w:after="160" w:line="256" w:lineRule="auto"/>
        <w:rPr>
          <w:rFonts w:ascii="Calibri" w:hAnsi="Calibri" w:cs="Calibri"/>
          <w:b w:val="0"/>
          <w:sz w:val="24"/>
          <w:szCs w:val="24"/>
          <w:lang w:eastAsia="ja-JP"/>
        </w:rPr>
      </w:pPr>
      <w:r w:rsidRPr="00E96621">
        <w:rPr>
          <w:rFonts w:ascii="Calibri" w:hAnsi="Calibri" w:cs="Calibri"/>
          <w:b w:val="0"/>
          <w:sz w:val="24"/>
          <w:szCs w:val="24"/>
          <w:lang w:eastAsia="ja-JP"/>
        </w:rPr>
        <w:t xml:space="preserve">We expect that as healthcare providers, ensuring quality patient care will be sufficient motivation for you to implement these best practices. You are also subject to several legal regulations that require you to do so. </w:t>
      </w:r>
    </w:p>
    <w:p w14:paraId="49A4C795" w14:textId="77777777" w:rsidR="00E96621" w:rsidRPr="00E96621" w:rsidRDefault="00E96621" w:rsidP="00E96621">
      <w:pPr>
        <w:keepNext/>
        <w:keepLines/>
        <w:spacing w:before="40" w:line="256" w:lineRule="auto"/>
        <w:outlineLvl w:val="1"/>
        <w:rPr>
          <w:rFonts w:ascii="Calibri Light" w:hAnsi="Calibri Light" w:cs="Mangal"/>
          <w:b w:val="0"/>
          <w:color w:val="2F5496"/>
          <w:sz w:val="26"/>
          <w:szCs w:val="26"/>
        </w:rPr>
      </w:pPr>
      <w:r w:rsidRPr="00E96621">
        <w:rPr>
          <w:rFonts w:ascii="Calibri Light" w:hAnsi="Calibri Light" w:cs="Mangal"/>
          <w:b w:val="0"/>
          <w:color w:val="2F5496"/>
          <w:sz w:val="26"/>
          <w:szCs w:val="26"/>
        </w:rPr>
        <w:t>Americans with Disabilities Act</w:t>
      </w:r>
    </w:p>
    <w:p w14:paraId="51896F9A" w14:textId="77777777" w:rsidR="00E96621" w:rsidRPr="00E96621" w:rsidRDefault="00E96621" w:rsidP="00E96621">
      <w:pPr>
        <w:spacing w:after="160" w:line="256" w:lineRule="auto"/>
        <w:rPr>
          <w:rFonts w:ascii="Calibri" w:hAnsi="Calibri" w:cs="Calibri"/>
          <w:b w:val="0"/>
          <w:sz w:val="24"/>
          <w:szCs w:val="24"/>
          <w:lang w:eastAsia="ja-JP"/>
        </w:rPr>
      </w:pPr>
      <w:r w:rsidRPr="00E96621">
        <w:rPr>
          <w:rFonts w:ascii="Calibri" w:hAnsi="Calibri" w:cs="Calibri"/>
          <w:b w:val="0"/>
          <w:sz w:val="24"/>
          <w:szCs w:val="24"/>
          <w:lang w:eastAsia="ja-JP"/>
        </w:rPr>
        <w:t xml:space="preserve">The Americans with Disabilities Act (“ADA”) has clear mandates requiring healthcare providers to ensure that the technologies they use to interact with patients are accessible to their blind and low vision patients. </w:t>
      </w:r>
      <w:r w:rsidRPr="00E96621">
        <w:rPr>
          <w:rFonts w:ascii="Calibri" w:eastAsia="Calibri" w:hAnsi="Calibri" w:cs="Calibri"/>
          <w:b w:val="0"/>
          <w:sz w:val="24"/>
          <w:szCs w:val="24"/>
        </w:rPr>
        <w:t>The number of employees associated with the healthcare provider, its size or status as a non-profit, whether or not it accepts federal funding, and the nature of the care or treatment, are all irrelevant as to whether the provider must follow the ADA.</w:t>
      </w:r>
    </w:p>
    <w:p w14:paraId="208B43EF" w14:textId="77777777" w:rsidR="00E96621" w:rsidRPr="00E96621" w:rsidRDefault="00E96621" w:rsidP="00E96621">
      <w:pPr>
        <w:spacing w:after="160" w:line="256" w:lineRule="auto"/>
        <w:rPr>
          <w:rFonts w:ascii="Calibri" w:hAnsi="Calibri" w:cs="Calibri"/>
          <w:b w:val="0"/>
          <w:sz w:val="24"/>
          <w:szCs w:val="24"/>
          <w:lang w:eastAsia="ja-JP"/>
        </w:rPr>
      </w:pPr>
      <w:r w:rsidRPr="00E96621">
        <w:rPr>
          <w:rFonts w:ascii="Calibri" w:hAnsi="Calibri" w:cs="Calibri"/>
          <w:b w:val="0"/>
          <w:sz w:val="24"/>
          <w:szCs w:val="24"/>
          <w:lang w:eastAsia="ja-JP"/>
        </w:rPr>
        <w:t xml:space="preserve">ADA Title III prohibits discrimination on the basis of disability in the “full and equal enjoyment of goods, services, facilities, privileges, advantages, or accommodations of any public place of accommodation by any person who owns, leases (or leases to), or operates a place of public accommodation.”  See 42 </w:t>
      </w:r>
      <w:r w:rsidRPr="00E96621">
        <w:rPr>
          <w:rFonts w:ascii="Calibri" w:hAnsi="Calibri" w:cs="Calibri"/>
          <w:b w:val="0"/>
          <w:sz w:val="24"/>
          <w:szCs w:val="24"/>
          <w:lang w:eastAsia="ja-JP"/>
        </w:rPr>
        <w:lastRenderedPageBreak/>
        <w:t xml:space="preserve">U.S.C. § 12182(a).  Places of public accommodation include “professional office[s] of a health care provider, hospital[s], or other service establishment[s].”  42 U.S.C. § 12181(7)(f). </w:t>
      </w:r>
      <w:r w:rsidRPr="00802A18">
        <w:rPr>
          <w:rFonts w:ascii="Calibri" w:hAnsi="Calibri" w:cs="Calibri"/>
          <w:bCs/>
          <w:sz w:val="24"/>
          <w:szCs w:val="24"/>
          <w:lang w:eastAsia="ja-JP"/>
        </w:rPr>
        <w:t>Thus, ADA Title III applies to private healthcare providers regardless</w:t>
      </w:r>
      <w:r w:rsidRPr="00802A18">
        <w:rPr>
          <w:rFonts w:ascii="Calibri" w:hAnsi="Calibri" w:cs="Calibri"/>
          <w:bCs/>
          <w:i/>
          <w:iCs/>
          <w:sz w:val="24"/>
          <w:szCs w:val="24"/>
          <w:lang w:eastAsia="ja-JP"/>
        </w:rPr>
        <w:t xml:space="preserve"> </w:t>
      </w:r>
      <w:r w:rsidRPr="00802A18">
        <w:rPr>
          <w:rFonts w:ascii="Calibri" w:hAnsi="Calibri" w:cs="Calibri"/>
          <w:bCs/>
          <w:sz w:val="24"/>
          <w:szCs w:val="24"/>
          <w:lang w:eastAsia="ja-JP"/>
        </w:rPr>
        <w:t>of whether they receive federal or state funding.  Similar rules apply to public healthcare entities under ADA Title II.</w:t>
      </w:r>
    </w:p>
    <w:p w14:paraId="19B9EB43" w14:textId="77777777" w:rsidR="00E96621" w:rsidRPr="00E96621" w:rsidRDefault="00E96621" w:rsidP="00E96621">
      <w:pPr>
        <w:spacing w:after="160" w:line="256" w:lineRule="auto"/>
        <w:rPr>
          <w:rFonts w:ascii="Calibri" w:hAnsi="Calibri" w:cs="Calibri"/>
          <w:b w:val="0"/>
          <w:sz w:val="24"/>
          <w:szCs w:val="24"/>
          <w:lang w:eastAsia="ja-JP"/>
        </w:rPr>
      </w:pPr>
      <w:proofErr w:type="gramStart"/>
      <w:r w:rsidRPr="00E96621">
        <w:rPr>
          <w:rFonts w:ascii="Calibri" w:eastAsia="Calibri" w:hAnsi="Calibri" w:cs="Calibri"/>
          <w:b w:val="0"/>
          <w:sz w:val="24"/>
          <w:szCs w:val="24"/>
        </w:rPr>
        <w:t>In order for</w:t>
      </w:r>
      <w:proofErr w:type="gramEnd"/>
      <w:r w:rsidRPr="00E96621">
        <w:rPr>
          <w:rFonts w:ascii="Calibri" w:eastAsia="Calibri" w:hAnsi="Calibri" w:cs="Calibri"/>
          <w:b w:val="0"/>
          <w:sz w:val="24"/>
          <w:szCs w:val="24"/>
        </w:rPr>
        <w:t xml:space="preserve"> people who are blind or low vision to have full and equal enjoyment of health care services, the law requires health care providers to supply auxiliary aids and services that will ensure there is effective communication.  42 U.S.C. § 12182 (b)(2)(A)(iii); 28 C.F.R.§ 36.303(a).  The regulations implementing the ADA define “auxiliary aids and services” to include:</w:t>
      </w:r>
    </w:p>
    <w:p w14:paraId="0C832F1A" w14:textId="77777777" w:rsidR="00E96621" w:rsidRPr="00E96621" w:rsidRDefault="00E96621" w:rsidP="00E96621">
      <w:pPr>
        <w:spacing w:line="256" w:lineRule="auto"/>
        <w:rPr>
          <w:rFonts w:ascii="Calibri" w:eastAsia="Calibri" w:hAnsi="Calibri" w:cs="Calibri"/>
          <w:b w:val="0"/>
          <w:sz w:val="24"/>
          <w:szCs w:val="24"/>
        </w:rPr>
      </w:pPr>
    </w:p>
    <w:p w14:paraId="1FB2B00B" w14:textId="77777777" w:rsidR="00E96621" w:rsidRPr="00E96621" w:rsidRDefault="00E96621" w:rsidP="00E96621">
      <w:pPr>
        <w:numPr>
          <w:ilvl w:val="0"/>
          <w:numId w:val="17"/>
        </w:numPr>
        <w:spacing w:after="160" w:line="288" w:lineRule="auto"/>
        <w:contextualSpacing/>
        <w:rPr>
          <w:rFonts w:ascii="Calibri" w:hAnsi="Calibri" w:cs="Calibri"/>
          <w:b w:val="0"/>
          <w:sz w:val="24"/>
          <w:szCs w:val="24"/>
          <w:lang w:eastAsia="ja-JP"/>
        </w:rPr>
      </w:pPr>
      <w:r w:rsidRPr="00E96621">
        <w:rPr>
          <w:rFonts w:ascii="Calibri" w:hAnsi="Calibri" w:cs="Calibri"/>
          <w:b w:val="0"/>
          <w:sz w:val="24"/>
          <w:szCs w:val="24"/>
          <w:lang w:eastAsia="ja-JP"/>
        </w:rPr>
        <w:t xml:space="preserve">accessible electronic and information technology; or other effective methods of making visually delivered materials available to individuals who are blind or have low </w:t>
      </w:r>
      <w:proofErr w:type="gramStart"/>
      <w:r w:rsidRPr="00E96621">
        <w:rPr>
          <w:rFonts w:ascii="Calibri" w:hAnsi="Calibri" w:cs="Calibri"/>
          <w:b w:val="0"/>
          <w:sz w:val="24"/>
          <w:szCs w:val="24"/>
          <w:lang w:eastAsia="ja-JP"/>
        </w:rPr>
        <w:t>vision;</w:t>
      </w:r>
      <w:proofErr w:type="gramEnd"/>
      <w:r w:rsidRPr="00E96621">
        <w:rPr>
          <w:rFonts w:ascii="Calibri" w:hAnsi="Calibri" w:cs="Calibri"/>
          <w:b w:val="0"/>
          <w:sz w:val="24"/>
          <w:szCs w:val="24"/>
          <w:lang w:eastAsia="ja-JP"/>
        </w:rPr>
        <w:t xml:space="preserve"> </w:t>
      </w:r>
    </w:p>
    <w:p w14:paraId="2518674C" w14:textId="77777777" w:rsidR="00E96621" w:rsidRPr="00E96621" w:rsidRDefault="00E96621" w:rsidP="00E96621">
      <w:pPr>
        <w:numPr>
          <w:ilvl w:val="0"/>
          <w:numId w:val="17"/>
        </w:numPr>
        <w:spacing w:after="160" w:line="288" w:lineRule="auto"/>
        <w:contextualSpacing/>
        <w:rPr>
          <w:rFonts w:ascii="Calibri" w:hAnsi="Calibri" w:cs="Calibri"/>
          <w:b w:val="0"/>
          <w:sz w:val="24"/>
          <w:szCs w:val="24"/>
          <w:lang w:eastAsia="ja-JP"/>
        </w:rPr>
      </w:pPr>
      <w:r w:rsidRPr="00E96621">
        <w:rPr>
          <w:rFonts w:ascii="Calibri" w:hAnsi="Calibri" w:cs="Calibri"/>
          <w:b w:val="0"/>
          <w:sz w:val="24"/>
          <w:szCs w:val="24"/>
          <w:lang w:eastAsia="ja-JP"/>
        </w:rPr>
        <w:t>acquisition or modification of equipment or devices; and</w:t>
      </w:r>
    </w:p>
    <w:p w14:paraId="343F8529" w14:textId="77777777" w:rsidR="00E96621" w:rsidRPr="00E96621" w:rsidRDefault="00E96621" w:rsidP="00E96621">
      <w:pPr>
        <w:numPr>
          <w:ilvl w:val="0"/>
          <w:numId w:val="17"/>
        </w:numPr>
        <w:spacing w:after="160" w:line="288" w:lineRule="auto"/>
        <w:contextualSpacing/>
        <w:rPr>
          <w:rFonts w:ascii="Calibri" w:hAnsi="Calibri" w:cs="Calibri"/>
          <w:b w:val="0"/>
          <w:sz w:val="24"/>
          <w:szCs w:val="24"/>
          <w:lang w:eastAsia="ja-JP"/>
        </w:rPr>
      </w:pPr>
      <w:r w:rsidRPr="00E96621">
        <w:rPr>
          <w:rFonts w:ascii="Calibri" w:hAnsi="Calibri" w:cs="Calibri"/>
          <w:b w:val="0"/>
          <w:sz w:val="24"/>
          <w:szCs w:val="24"/>
          <w:lang w:eastAsia="ja-JP"/>
        </w:rPr>
        <w:t>screen reader software.</w:t>
      </w:r>
    </w:p>
    <w:p w14:paraId="03E4325E" w14:textId="77777777" w:rsidR="00E96621" w:rsidRPr="00E96621" w:rsidRDefault="00E96621" w:rsidP="00E96621">
      <w:pPr>
        <w:spacing w:line="256" w:lineRule="auto"/>
        <w:rPr>
          <w:rFonts w:ascii="Calibri" w:eastAsia="Calibri" w:hAnsi="Calibri" w:cs="Calibri"/>
          <w:b w:val="0"/>
          <w:sz w:val="24"/>
          <w:szCs w:val="24"/>
        </w:rPr>
      </w:pPr>
    </w:p>
    <w:p w14:paraId="646CE3AA" w14:textId="191F4476" w:rsidR="00E96621" w:rsidRPr="00E96621" w:rsidRDefault="00E96621" w:rsidP="00E96621">
      <w:pPr>
        <w:spacing w:after="160" w:line="256" w:lineRule="auto"/>
        <w:rPr>
          <w:rFonts w:ascii="Calibri" w:eastAsia="Calibri" w:hAnsi="Calibri" w:cs="Calibri"/>
          <w:b w:val="0"/>
          <w:sz w:val="24"/>
          <w:szCs w:val="24"/>
        </w:rPr>
      </w:pPr>
      <w:r w:rsidRPr="00E96621">
        <w:rPr>
          <w:rFonts w:ascii="Calibri" w:eastAsia="Calibri" w:hAnsi="Calibri" w:cs="Calibri"/>
          <w:b w:val="0"/>
          <w:sz w:val="24"/>
          <w:szCs w:val="24"/>
        </w:rPr>
        <w:t>28 C.F.R. § 36.303(b)(2) and (3). The ADA further requires healthcare providers to “make reasonable modifications in policies, practices, or procedures, when the modifications are necessary to afford goods, services, facilities, privileges, advantages, or accommodations to individuals with disabilities” unless doing so would result in a fundamental alteration of the services.  28 C.F.R. § 36.302</w:t>
      </w:r>
      <w:r w:rsidR="00A04A32">
        <w:rPr>
          <w:rFonts w:ascii="Calibri" w:eastAsia="Calibri" w:hAnsi="Calibri" w:cs="Calibri"/>
          <w:b w:val="0"/>
          <w:sz w:val="24"/>
          <w:szCs w:val="24"/>
        </w:rPr>
        <w:t>(a).</w:t>
      </w:r>
      <w:r w:rsidRPr="00E96621">
        <w:rPr>
          <w:rFonts w:ascii="Calibri" w:eastAsia="Calibri" w:hAnsi="Calibri" w:cs="Calibri"/>
          <w:b w:val="0"/>
          <w:sz w:val="24"/>
          <w:szCs w:val="24"/>
        </w:rPr>
        <w:t xml:space="preserve"> </w:t>
      </w:r>
    </w:p>
    <w:p w14:paraId="4066CE58" w14:textId="08A3A40F" w:rsidR="00E96621" w:rsidRPr="00E96621" w:rsidRDefault="00E96621" w:rsidP="00E96621">
      <w:pPr>
        <w:spacing w:after="160" w:line="256" w:lineRule="auto"/>
        <w:rPr>
          <w:rFonts w:ascii="Calibri" w:eastAsia="Calibri" w:hAnsi="Calibri" w:cs="Calibri"/>
          <w:b w:val="0"/>
          <w:sz w:val="24"/>
          <w:szCs w:val="24"/>
        </w:rPr>
      </w:pPr>
      <w:r w:rsidRPr="00E96621">
        <w:rPr>
          <w:rFonts w:ascii="Calibri" w:eastAsia="Calibri" w:hAnsi="Calibri" w:cs="Calibri"/>
          <w:b w:val="0"/>
          <w:sz w:val="24"/>
          <w:szCs w:val="24"/>
        </w:rPr>
        <w:t>In short, these regulations require that the technologies you use to interact with your patients be accessible, including by ensuring that these technologies are compatible with screen reader software. The Department of Justice has pursued legal action where healthcare technologies fall short of these requirements. For example,</w:t>
      </w:r>
      <w:r w:rsidR="00330A95" w:rsidRPr="00330A95">
        <w:t xml:space="preserve"> </w:t>
      </w:r>
      <w:hyperlink r:id="rId10" w:anchor=":~:text=HARRISBURG%20-%20The%20United%20States%20Attorney%E2%80%99s%20Office%20for,about%20COVID-19%20vaccinations%20and%20book%20their%20vaccinations%20online." w:history="1">
        <w:r w:rsidR="00330A95" w:rsidRPr="00330A95">
          <w:rPr>
            <w:rStyle w:val="Hyperlink"/>
            <w:rFonts w:asciiTheme="minorHAnsi" w:hAnsiTheme="minorHAnsi" w:cstheme="minorHAnsi"/>
            <w:sz w:val="24"/>
            <w:szCs w:val="24"/>
          </w:rPr>
          <w:t>Justice Department Secures Settlement With Rite Aid Corporation To Make Its Online Covid-19 Vaccine Portal Accessible To Individuals With Disabilities | USAO-MDPA | Department of Justice</w:t>
        </w:r>
      </w:hyperlink>
      <w:r w:rsidR="00330A95">
        <w:rPr>
          <w:rFonts w:ascii="Calibri" w:eastAsia="Calibri" w:hAnsi="Calibri" w:cs="Calibri"/>
          <w:b w:val="0"/>
          <w:sz w:val="24"/>
          <w:szCs w:val="24"/>
        </w:rPr>
        <w:t>.</w:t>
      </w:r>
      <w:r w:rsidRPr="00E96621">
        <w:rPr>
          <w:rFonts w:ascii="Calibri" w:eastAsia="Calibri" w:hAnsi="Calibri" w:cs="Mangal"/>
          <w:b w:val="0"/>
          <w:sz w:val="22"/>
          <w:szCs w:val="22"/>
          <w:vertAlign w:val="superscript"/>
        </w:rPr>
        <w:footnoteReference w:id="5"/>
      </w:r>
      <w:r w:rsidRPr="00E96621">
        <w:rPr>
          <w:rFonts w:ascii="Calibri" w:eastAsia="Calibri" w:hAnsi="Calibri" w:cs="Mangal"/>
          <w:b w:val="0"/>
          <w:sz w:val="22"/>
          <w:szCs w:val="22"/>
        </w:rPr>
        <w:t xml:space="preserve"> </w:t>
      </w:r>
    </w:p>
    <w:p w14:paraId="4306DACA" w14:textId="77777777" w:rsidR="00E96621" w:rsidRPr="00E96621" w:rsidRDefault="00E96621" w:rsidP="00E96621">
      <w:pPr>
        <w:keepNext/>
        <w:keepLines/>
        <w:spacing w:before="40" w:line="256" w:lineRule="auto"/>
        <w:outlineLvl w:val="1"/>
        <w:rPr>
          <w:rFonts w:ascii="Calibri Light" w:hAnsi="Calibri Light" w:cs="Mangal"/>
          <w:b w:val="0"/>
          <w:color w:val="2F5496"/>
          <w:sz w:val="26"/>
          <w:szCs w:val="26"/>
        </w:rPr>
      </w:pPr>
      <w:r w:rsidRPr="00E96621">
        <w:rPr>
          <w:rFonts w:ascii="Calibri Light" w:hAnsi="Calibri Light" w:cs="Mangal"/>
          <w:b w:val="0"/>
          <w:color w:val="2F5496"/>
          <w:sz w:val="26"/>
          <w:szCs w:val="26"/>
        </w:rPr>
        <w:t xml:space="preserve">State and Local Laws </w:t>
      </w:r>
    </w:p>
    <w:p w14:paraId="79044288" w14:textId="77777777" w:rsidR="00E96621" w:rsidRPr="00E96621" w:rsidRDefault="00E96621" w:rsidP="00E96621">
      <w:pPr>
        <w:spacing w:after="160" w:line="256" w:lineRule="auto"/>
        <w:rPr>
          <w:rFonts w:ascii="Calibri" w:hAnsi="Calibri" w:cs="Calibri"/>
          <w:b w:val="0"/>
          <w:sz w:val="24"/>
          <w:szCs w:val="24"/>
        </w:rPr>
      </w:pPr>
      <w:r w:rsidRPr="00E96621">
        <w:rPr>
          <w:rFonts w:ascii="Calibri" w:hAnsi="Calibri" w:cs="Calibri"/>
          <w:b w:val="0"/>
          <w:sz w:val="24"/>
          <w:szCs w:val="24"/>
        </w:rPr>
        <w:t xml:space="preserve">State and local law further supplement the protections provided under the ADA.  </w:t>
      </w:r>
      <w:r w:rsidRPr="00E96621">
        <w:rPr>
          <w:rFonts w:ascii="Calibri" w:hAnsi="Calibri" w:cs="Calibri"/>
          <w:b w:val="0"/>
          <w:i/>
          <w:sz w:val="24"/>
          <w:szCs w:val="24"/>
        </w:rPr>
        <w:t>See, e.g.</w:t>
      </w:r>
      <w:r w:rsidRPr="00E96621">
        <w:rPr>
          <w:rFonts w:ascii="Calibri" w:hAnsi="Calibri" w:cs="Calibri"/>
          <w:b w:val="0"/>
          <w:sz w:val="24"/>
          <w:szCs w:val="24"/>
        </w:rPr>
        <w:t>, New York State (N.Y. Exec. Law § 292(9)); New York City (N.Y.C. Admin. Code § 8-107(4)(a)); Illinois (775 ILCS 5/5-101); District of Columbia (D.C. Code § 2-1401.02); California (Cal Civ Code § 54.1).</w:t>
      </w:r>
    </w:p>
    <w:p w14:paraId="337962BA" w14:textId="77777777" w:rsidR="00E96621" w:rsidRPr="00E96621" w:rsidRDefault="00E96621" w:rsidP="00E96621">
      <w:pPr>
        <w:keepNext/>
        <w:keepLines/>
        <w:spacing w:before="40" w:line="256" w:lineRule="auto"/>
        <w:outlineLvl w:val="1"/>
        <w:rPr>
          <w:rFonts w:ascii="Calibri Light" w:hAnsi="Calibri Light" w:cs="Mangal"/>
          <w:b w:val="0"/>
          <w:color w:val="2F5496"/>
          <w:sz w:val="24"/>
          <w:szCs w:val="24"/>
        </w:rPr>
      </w:pPr>
      <w:r w:rsidRPr="00E96621">
        <w:rPr>
          <w:rFonts w:ascii="Calibri Light" w:hAnsi="Calibri Light" w:cs="Mangal"/>
          <w:b w:val="0"/>
          <w:color w:val="2F5496"/>
          <w:sz w:val="26"/>
          <w:szCs w:val="26"/>
        </w:rPr>
        <w:t>Medicare, Medicaid, &amp; the ACA</w:t>
      </w:r>
    </w:p>
    <w:p w14:paraId="52CD5535" w14:textId="77777777" w:rsidR="00E96621" w:rsidRPr="00E96621" w:rsidRDefault="00E96621" w:rsidP="00E96621">
      <w:pPr>
        <w:spacing w:after="160" w:line="256" w:lineRule="auto"/>
        <w:rPr>
          <w:rFonts w:ascii="Calibri" w:eastAsia="Calibri" w:hAnsi="Calibri" w:cs="Calibri"/>
          <w:b w:val="0"/>
          <w:sz w:val="24"/>
          <w:szCs w:val="24"/>
        </w:rPr>
      </w:pPr>
      <w:r w:rsidRPr="00E96621">
        <w:rPr>
          <w:rFonts w:ascii="Calibri" w:eastAsia="Calibri" w:hAnsi="Calibri" w:cs="Calibri"/>
          <w:b w:val="0"/>
          <w:iCs/>
          <w:sz w:val="24"/>
          <w:szCs w:val="24"/>
        </w:rPr>
        <w:t xml:space="preserve">Additionally, </w:t>
      </w:r>
      <w:r w:rsidRPr="00E96621">
        <w:rPr>
          <w:rFonts w:ascii="Calibri" w:eastAsia="Calibri" w:hAnsi="Calibri" w:cs="Calibri"/>
          <w:b w:val="0"/>
          <w:sz w:val="24"/>
          <w:szCs w:val="24"/>
        </w:rPr>
        <w:t xml:space="preserve">it is unlawful for organizations that receive federal funding, such as Medicare and Medicaid, to discriminate against people with disabilities under Section 504 of the Rehabilitation Act of </w:t>
      </w:r>
      <w:r w:rsidRPr="00E96621">
        <w:rPr>
          <w:rFonts w:ascii="Calibri" w:eastAsia="Calibri" w:hAnsi="Calibri" w:cs="Calibri"/>
          <w:b w:val="0"/>
          <w:sz w:val="24"/>
          <w:szCs w:val="24"/>
        </w:rPr>
        <w:lastRenderedPageBreak/>
        <w:t xml:space="preserve">1973 (“Section 504”). 29 U.S.C. §§ 701, </w:t>
      </w:r>
      <w:r w:rsidRPr="00E96621">
        <w:rPr>
          <w:rFonts w:ascii="Calibri" w:eastAsia="Calibri" w:hAnsi="Calibri" w:cs="Calibri"/>
          <w:b w:val="0"/>
          <w:iCs/>
          <w:sz w:val="24"/>
          <w:szCs w:val="24"/>
        </w:rPr>
        <w:t xml:space="preserve">et seq.  If your office receives </w:t>
      </w:r>
      <w:r w:rsidRPr="00E96621">
        <w:rPr>
          <w:rFonts w:ascii="Calibri" w:eastAsia="Calibri" w:hAnsi="Calibri" w:cs="Calibri"/>
          <w:b w:val="0"/>
          <w:sz w:val="24"/>
          <w:szCs w:val="24"/>
        </w:rPr>
        <w:t>Medicare and Medicaid funding, it must comply with Section 504 by making its programs accessible, and by effectively communicating with persons with disabilities. Medical offices subject to the Affordable Care Act (“ACA”) also have additional obligations. See 45 C.F.R. § 92.202 (2016).</w:t>
      </w:r>
    </w:p>
    <w:p w14:paraId="2A4AB1B7" w14:textId="77777777" w:rsidR="00E96621" w:rsidRPr="00E96621" w:rsidRDefault="00E96621" w:rsidP="00E96621">
      <w:pPr>
        <w:spacing w:after="160" w:line="256" w:lineRule="auto"/>
        <w:rPr>
          <w:rFonts w:ascii="Calibri" w:eastAsia="Calibri" w:hAnsi="Calibri" w:cs="Mangal"/>
          <w:b w:val="0"/>
          <w:sz w:val="24"/>
          <w:szCs w:val="24"/>
        </w:rPr>
      </w:pPr>
      <w:r w:rsidRPr="00E96621">
        <w:rPr>
          <w:rFonts w:ascii="Calibri" w:eastAsia="Calibri" w:hAnsi="Calibri" w:cs="Calibri"/>
          <w:b w:val="0"/>
          <w:sz w:val="24"/>
          <w:szCs w:val="24"/>
        </w:rPr>
        <w:t xml:space="preserve">As summarized by the </w:t>
      </w:r>
      <w:r w:rsidRPr="00E96621">
        <w:rPr>
          <w:rFonts w:ascii="Calibri" w:eastAsia="Calibri" w:hAnsi="Calibri" w:cs="Mangal"/>
          <w:b w:val="0"/>
          <w:sz w:val="24"/>
          <w:szCs w:val="24"/>
        </w:rPr>
        <w:t xml:space="preserve">U.S. Department of Health and Human Services, Office for Civil Rights in an </w:t>
      </w:r>
      <w:hyperlink r:id="rId11" w:history="1">
        <w:r w:rsidRPr="00E96621">
          <w:rPr>
            <w:rFonts w:ascii="Calibri" w:eastAsia="Calibri" w:hAnsi="Calibri" w:cs="Mangal"/>
            <w:b w:val="0"/>
            <w:color w:val="0000FF"/>
            <w:sz w:val="24"/>
            <w:szCs w:val="24"/>
            <w:u w:val="single"/>
          </w:rPr>
          <w:t>open letter</w:t>
        </w:r>
      </w:hyperlink>
      <w:r w:rsidRPr="00E96621">
        <w:rPr>
          <w:rFonts w:ascii="Calibri" w:eastAsia="Calibri" w:hAnsi="Calibri" w:cs="Mangal"/>
          <w:b w:val="0"/>
          <w:color w:val="0000FF"/>
          <w:sz w:val="24"/>
          <w:szCs w:val="24"/>
          <w:u w:val="single"/>
          <w:vertAlign w:val="superscript"/>
        </w:rPr>
        <w:footnoteReference w:id="6"/>
      </w:r>
      <w:r w:rsidRPr="00E96621">
        <w:rPr>
          <w:rFonts w:ascii="Calibri" w:eastAsia="Calibri" w:hAnsi="Calibri" w:cs="Mangal"/>
          <w:b w:val="0"/>
          <w:sz w:val="24"/>
          <w:szCs w:val="24"/>
        </w:rPr>
        <w:t xml:space="preserve">, to comply with these regulations covered health providers should “should review their [Electronic Information Technology] systems to ensure accessibility” of technologies such as: </w:t>
      </w:r>
    </w:p>
    <w:p w14:paraId="0E907CB2" w14:textId="77777777" w:rsidR="00E96621" w:rsidRPr="00E96621" w:rsidRDefault="00E96621" w:rsidP="00E96621">
      <w:pPr>
        <w:numPr>
          <w:ilvl w:val="0"/>
          <w:numId w:val="18"/>
        </w:numPr>
        <w:spacing w:after="240" w:line="288" w:lineRule="auto"/>
        <w:contextualSpacing/>
        <w:rPr>
          <w:rFonts w:ascii="Calibri" w:hAnsi="Calibri" w:cs="Mangal"/>
          <w:b w:val="0"/>
          <w:sz w:val="24"/>
          <w:szCs w:val="24"/>
          <w:lang w:eastAsia="ja-JP"/>
        </w:rPr>
      </w:pPr>
      <w:r w:rsidRPr="00E96621">
        <w:rPr>
          <w:rFonts w:ascii="Calibri" w:hAnsi="Calibri" w:cs="Mangal"/>
          <w:b w:val="0"/>
          <w:sz w:val="24"/>
          <w:szCs w:val="24"/>
          <w:lang w:eastAsia="ja-JP"/>
        </w:rPr>
        <w:t xml:space="preserve">websites </w:t>
      </w:r>
    </w:p>
    <w:p w14:paraId="580C6984" w14:textId="77777777" w:rsidR="00E96621" w:rsidRPr="00E96621" w:rsidRDefault="00E96621" w:rsidP="00E96621">
      <w:pPr>
        <w:numPr>
          <w:ilvl w:val="0"/>
          <w:numId w:val="18"/>
        </w:numPr>
        <w:spacing w:after="240" w:line="288" w:lineRule="auto"/>
        <w:contextualSpacing/>
        <w:rPr>
          <w:rFonts w:ascii="Calibri" w:hAnsi="Calibri" w:cs="Mangal"/>
          <w:b w:val="0"/>
          <w:sz w:val="24"/>
          <w:szCs w:val="24"/>
          <w:lang w:eastAsia="ja-JP"/>
        </w:rPr>
      </w:pPr>
      <w:r w:rsidRPr="00E96621">
        <w:rPr>
          <w:rFonts w:ascii="Calibri" w:hAnsi="Calibri" w:cs="Mangal"/>
          <w:b w:val="0"/>
          <w:sz w:val="24"/>
          <w:szCs w:val="24"/>
          <w:lang w:eastAsia="ja-JP"/>
        </w:rPr>
        <w:t>patient web portals</w:t>
      </w:r>
    </w:p>
    <w:p w14:paraId="6F38D746" w14:textId="77777777" w:rsidR="00E96621" w:rsidRPr="00E96621" w:rsidRDefault="00E96621" w:rsidP="00E96621">
      <w:pPr>
        <w:numPr>
          <w:ilvl w:val="0"/>
          <w:numId w:val="18"/>
        </w:numPr>
        <w:spacing w:after="240" w:line="288" w:lineRule="auto"/>
        <w:contextualSpacing/>
        <w:rPr>
          <w:rFonts w:ascii="Calibri" w:hAnsi="Calibri" w:cs="Mangal"/>
          <w:b w:val="0"/>
          <w:sz w:val="24"/>
          <w:szCs w:val="24"/>
          <w:lang w:eastAsia="ja-JP"/>
        </w:rPr>
      </w:pPr>
      <w:r w:rsidRPr="00E96621">
        <w:rPr>
          <w:rFonts w:ascii="Calibri" w:hAnsi="Calibri" w:cs="Mangal"/>
          <w:b w:val="0"/>
          <w:sz w:val="24"/>
          <w:szCs w:val="24"/>
          <w:lang w:eastAsia="ja-JP"/>
        </w:rPr>
        <w:t>e-prescriptions</w:t>
      </w:r>
    </w:p>
    <w:p w14:paraId="72A78EF7" w14:textId="77777777" w:rsidR="00E96621" w:rsidRPr="00E96621" w:rsidRDefault="00E96621" w:rsidP="00E96621">
      <w:pPr>
        <w:numPr>
          <w:ilvl w:val="0"/>
          <w:numId w:val="18"/>
        </w:numPr>
        <w:spacing w:after="240" w:line="288" w:lineRule="auto"/>
        <w:contextualSpacing/>
        <w:rPr>
          <w:rFonts w:ascii="Calibri" w:hAnsi="Calibri" w:cs="Mangal"/>
          <w:b w:val="0"/>
          <w:sz w:val="24"/>
          <w:szCs w:val="24"/>
          <w:lang w:eastAsia="ja-JP"/>
        </w:rPr>
      </w:pPr>
      <w:proofErr w:type="spellStart"/>
      <w:r w:rsidRPr="00E96621">
        <w:rPr>
          <w:rFonts w:ascii="Calibri" w:hAnsi="Calibri" w:cs="Mangal"/>
          <w:b w:val="0"/>
          <w:sz w:val="24"/>
          <w:szCs w:val="24"/>
          <w:lang w:eastAsia="ja-JP"/>
        </w:rPr>
        <w:t>self check-in</w:t>
      </w:r>
      <w:proofErr w:type="spellEnd"/>
      <w:r w:rsidRPr="00E96621">
        <w:rPr>
          <w:rFonts w:ascii="Calibri" w:hAnsi="Calibri" w:cs="Mangal"/>
          <w:b w:val="0"/>
          <w:sz w:val="24"/>
          <w:szCs w:val="24"/>
          <w:lang w:eastAsia="ja-JP"/>
        </w:rPr>
        <w:t xml:space="preserve"> or diagnostic kiosks</w:t>
      </w:r>
    </w:p>
    <w:p w14:paraId="2124815C" w14:textId="77777777" w:rsidR="00E96621" w:rsidRPr="00E96621" w:rsidRDefault="00E96621" w:rsidP="00E96621">
      <w:pPr>
        <w:numPr>
          <w:ilvl w:val="0"/>
          <w:numId w:val="18"/>
        </w:numPr>
        <w:spacing w:after="240" w:line="288" w:lineRule="auto"/>
        <w:contextualSpacing/>
        <w:rPr>
          <w:rFonts w:ascii="Calibri" w:hAnsi="Calibri" w:cs="Mangal"/>
          <w:b w:val="0"/>
          <w:sz w:val="24"/>
          <w:szCs w:val="24"/>
          <w:lang w:eastAsia="ja-JP"/>
        </w:rPr>
      </w:pPr>
      <w:r w:rsidRPr="00E96621">
        <w:rPr>
          <w:rFonts w:ascii="Calibri" w:hAnsi="Calibri" w:cs="Mangal"/>
          <w:b w:val="0"/>
          <w:sz w:val="24"/>
          <w:szCs w:val="24"/>
          <w:lang w:eastAsia="ja-JP"/>
        </w:rPr>
        <w:t>physician videoconferencing systems</w:t>
      </w:r>
    </w:p>
    <w:p w14:paraId="108361FE" w14:textId="77777777" w:rsidR="00E96621" w:rsidRPr="00E96621" w:rsidRDefault="00E96621" w:rsidP="00E96621">
      <w:pPr>
        <w:numPr>
          <w:ilvl w:val="0"/>
          <w:numId w:val="18"/>
        </w:numPr>
        <w:spacing w:after="240" w:line="288" w:lineRule="auto"/>
        <w:contextualSpacing/>
        <w:rPr>
          <w:rFonts w:ascii="Calibri" w:hAnsi="Calibri" w:cs="Mangal"/>
          <w:b w:val="0"/>
          <w:sz w:val="24"/>
          <w:szCs w:val="24"/>
          <w:lang w:eastAsia="ja-JP"/>
        </w:rPr>
      </w:pPr>
      <w:r w:rsidRPr="00E96621">
        <w:rPr>
          <w:rFonts w:ascii="Calibri" w:hAnsi="Calibri" w:cs="Mangal"/>
          <w:b w:val="0"/>
          <w:sz w:val="24"/>
          <w:szCs w:val="24"/>
          <w:lang w:eastAsia="ja-JP"/>
        </w:rPr>
        <w:t>health/medication information dispensaries</w:t>
      </w:r>
    </w:p>
    <w:p w14:paraId="1B531043" w14:textId="2D37BD78" w:rsidR="00E96621" w:rsidRPr="00E96621" w:rsidRDefault="00E96621" w:rsidP="00E96621">
      <w:pPr>
        <w:numPr>
          <w:ilvl w:val="0"/>
          <w:numId w:val="18"/>
        </w:numPr>
        <w:spacing w:after="240" w:line="288" w:lineRule="auto"/>
        <w:contextualSpacing/>
        <w:rPr>
          <w:rFonts w:ascii="Calibri" w:hAnsi="Calibri" w:cs="Mangal"/>
          <w:b w:val="0"/>
          <w:sz w:val="24"/>
          <w:szCs w:val="24"/>
          <w:lang w:eastAsia="ja-JP"/>
        </w:rPr>
      </w:pPr>
      <w:r w:rsidRPr="00E96621">
        <w:rPr>
          <w:rFonts w:ascii="Calibri" w:hAnsi="Calibri" w:cs="Mangal"/>
          <w:b w:val="0"/>
          <w:sz w:val="24"/>
          <w:szCs w:val="24"/>
          <w:lang w:eastAsia="ja-JP"/>
        </w:rPr>
        <w:t xml:space="preserve">electronic health records </w:t>
      </w:r>
      <w:r w:rsidR="00C73AF9">
        <w:rPr>
          <w:rFonts w:ascii="Calibri" w:hAnsi="Calibri" w:cs="Mangal"/>
          <w:b w:val="0"/>
          <w:sz w:val="24"/>
          <w:szCs w:val="24"/>
          <w:lang w:eastAsia="ja-JP"/>
        </w:rPr>
        <w:br/>
      </w:r>
    </w:p>
    <w:p w14:paraId="5CA39CA6" w14:textId="77777777" w:rsidR="00E96621" w:rsidRPr="00E96621" w:rsidRDefault="00E96621" w:rsidP="00E96621">
      <w:pPr>
        <w:spacing w:after="160" w:line="256" w:lineRule="auto"/>
        <w:rPr>
          <w:rFonts w:ascii="Calibri" w:eastAsia="Calibri" w:hAnsi="Calibri" w:cs="Mangal"/>
          <w:b w:val="0"/>
          <w:sz w:val="24"/>
          <w:szCs w:val="24"/>
        </w:rPr>
      </w:pPr>
      <w:r w:rsidRPr="00E96621">
        <w:rPr>
          <w:rFonts w:ascii="Calibri" w:eastAsia="Calibri" w:hAnsi="Calibri" w:cs="Mangal"/>
          <w:b w:val="0"/>
          <w:sz w:val="24"/>
          <w:szCs w:val="24"/>
        </w:rPr>
        <w:t xml:space="preserve">Additionally, as noted in </w:t>
      </w:r>
      <w:hyperlink r:id="rId12" w:history="1">
        <w:r w:rsidRPr="00E96621">
          <w:rPr>
            <w:rFonts w:ascii="Calibri" w:eastAsia="Calibri" w:hAnsi="Calibri" w:cs="Mangal"/>
            <w:b w:val="0"/>
            <w:color w:val="0000FF"/>
            <w:sz w:val="24"/>
            <w:szCs w:val="24"/>
            <w:u w:val="single"/>
          </w:rPr>
          <w:t>recent guidance issued by the US Department of Justice and Department of Health and Human Services</w:t>
        </w:r>
      </w:hyperlink>
      <w:r w:rsidRPr="00E96621">
        <w:rPr>
          <w:rFonts w:ascii="Calibri" w:eastAsia="Calibri" w:hAnsi="Calibri" w:cs="Mangal"/>
          <w:b w:val="0"/>
          <w:color w:val="0000FF"/>
          <w:sz w:val="24"/>
          <w:szCs w:val="24"/>
          <w:u w:val="single"/>
          <w:vertAlign w:val="superscript"/>
        </w:rPr>
        <w:footnoteReference w:id="7"/>
      </w:r>
      <w:r w:rsidRPr="00E96621">
        <w:rPr>
          <w:rFonts w:ascii="Calibri" w:eastAsia="Calibri" w:hAnsi="Calibri" w:cs="Mangal"/>
          <w:b w:val="0"/>
          <w:sz w:val="24"/>
          <w:szCs w:val="24"/>
        </w:rPr>
        <w:t xml:space="preserve">, health care providers have an obligation to ensure non-discrimination in telehealth, including discrimination on the basis of disability and limited English proficiency.  </w:t>
      </w:r>
    </w:p>
    <w:p w14:paraId="75F948DB" w14:textId="59978C6C" w:rsidR="00476D55" w:rsidRDefault="00E96621" w:rsidP="00E96621">
      <w:pPr>
        <w:spacing w:after="160" w:line="256" w:lineRule="auto"/>
        <w:rPr>
          <w:rFonts w:ascii="Calibri" w:eastAsia="Calibri" w:hAnsi="Calibri" w:cs="Mangal"/>
          <w:b w:val="0"/>
          <w:sz w:val="24"/>
          <w:szCs w:val="24"/>
        </w:rPr>
      </w:pPr>
      <w:r w:rsidRPr="00E96621">
        <w:rPr>
          <w:rFonts w:ascii="Calibri" w:eastAsia="Calibri" w:hAnsi="Calibri" w:cs="Mangal"/>
          <w:b w:val="0"/>
          <w:sz w:val="24"/>
          <w:szCs w:val="24"/>
        </w:rPr>
        <w:t xml:space="preserve">Notably, the Section 504 and ACA regulations are </w:t>
      </w:r>
      <w:r w:rsidRPr="00E96621">
        <w:rPr>
          <w:rFonts w:ascii="Calibri" w:eastAsia="Calibri" w:hAnsi="Calibri" w:cs="Mangal"/>
          <w:b w:val="0"/>
          <w:i/>
          <w:iCs/>
          <w:sz w:val="24"/>
          <w:szCs w:val="24"/>
        </w:rPr>
        <w:t xml:space="preserve">in addition to </w:t>
      </w:r>
      <w:r w:rsidRPr="00E96621">
        <w:rPr>
          <w:rFonts w:ascii="Calibri" w:eastAsia="Calibri" w:hAnsi="Calibri" w:cs="Mangal"/>
          <w:b w:val="0"/>
          <w:sz w:val="24"/>
          <w:szCs w:val="24"/>
        </w:rPr>
        <w:t xml:space="preserve">obligations under Title III of the ADA. Each of the listed technologies also must be accessible in compliance with the ADA, regardless of whether a provider accepts federal funding, as detailed above. Individuals who believe that medical providers have violated these requirements may file a complaint </w:t>
      </w:r>
      <w:r w:rsidR="00224BE7">
        <w:rPr>
          <w:rFonts w:ascii="Calibri" w:eastAsia="Calibri" w:hAnsi="Calibri" w:cs="Mangal"/>
          <w:b w:val="0"/>
          <w:sz w:val="24"/>
          <w:szCs w:val="24"/>
        </w:rPr>
        <w:t>with:</w:t>
      </w:r>
    </w:p>
    <w:p w14:paraId="1410B591" w14:textId="68DD5F21" w:rsidR="00224BE7" w:rsidRDefault="00E96621" w:rsidP="00476D55">
      <w:pPr>
        <w:pStyle w:val="ListParagraph"/>
        <w:numPr>
          <w:ilvl w:val="0"/>
          <w:numId w:val="19"/>
        </w:numPr>
        <w:spacing w:after="160" w:line="256" w:lineRule="auto"/>
        <w:rPr>
          <w:rFonts w:ascii="Calibri" w:eastAsia="Calibri" w:hAnsi="Calibri" w:cs="Mangal"/>
          <w:b w:val="0"/>
          <w:sz w:val="24"/>
          <w:szCs w:val="24"/>
        </w:rPr>
      </w:pPr>
      <w:r w:rsidRPr="00476D55">
        <w:rPr>
          <w:rFonts w:ascii="Calibri" w:eastAsia="Calibri" w:hAnsi="Calibri" w:cs="Mangal"/>
          <w:b w:val="0"/>
          <w:sz w:val="24"/>
          <w:szCs w:val="24"/>
        </w:rPr>
        <w:t>HHS at: https://ocrportal.hhs.gov/ocr/smartscreen/main.jsf</w:t>
      </w:r>
      <w:r w:rsidR="00D0496C">
        <w:rPr>
          <w:rFonts w:ascii="Calibri" w:eastAsia="Calibri" w:hAnsi="Calibri" w:cs="Mangal"/>
          <w:b w:val="0"/>
          <w:sz w:val="24"/>
          <w:szCs w:val="24"/>
        </w:rPr>
        <w:t>;</w:t>
      </w:r>
      <w:r w:rsidRPr="00476D55">
        <w:rPr>
          <w:rFonts w:ascii="Calibri" w:eastAsia="Calibri" w:hAnsi="Calibri" w:cs="Mangal"/>
          <w:b w:val="0"/>
          <w:sz w:val="24"/>
          <w:szCs w:val="24"/>
        </w:rPr>
        <w:t xml:space="preserve"> and/or </w:t>
      </w:r>
    </w:p>
    <w:p w14:paraId="0BBD82FF" w14:textId="5463CF33" w:rsidR="00E96621" w:rsidRPr="00476D55" w:rsidRDefault="00E96621" w:rsidP="00476D55">
      <w:pPr>
        <w:pStyle w:val="ListParagraph"/>
        <w:numPr>
          <w:ilvl w:val="0"/>
          <w:numId w:val="19"/>
        </w:numPr>
        <w:spacing w:after="160" w:line="256" w:lineRule="auto"/>
        <w:rPr>
          <w:rFonts w:ascii="Calibri" w:eastAsia="Calibri" w:hAnsi="Calibri" w:cs="Mangal"/>
          <w:b w:val="0"/>
          <w:sz w:val="24"/>
          <w:szCs w:val="24"/>
        </w:rPr>
      </w:pPr>
      <w:r w:rsidRPr="00476D55">
        <w:rPr>
          <w:rFonts w:ascii="Calibri" w:eastAsia="Calibri" w:hAnsi="Calibri" w:cs="Mangal"/>
          <w:b w:val="0"/>
          <w:sz w:val="24"/>
          <w:szCs w:val="24"/>
        </w:rPr>
        <w:t xml:space="preserve">the Department of Justice at </w:t>
      </w:r>
      <w:hyperlink r:id="rId13" w:history="1">
        <w:r w:rsidRPr="00476D55">
          <w:rPr>
            <w:rFonts w:ascii="Calibri" w:eastAsia="Calibri" w:hAnsi="Calibri" w:cs="Mangal"/>
            <w:b w:val="0"/>
            <w:color w:val="0000FF"/>
            <w:sz w:val="24"/>
            <w:szCs w:val="24"/>
            <w:u w:val="single"/>
          </w:rPr>
          <w:t>https://civilrights.justice.gov/report/</w:t>
        </w:r>
      </w:hyperlink>
      <w:r w:rsidRPr="00476D55">
        <w:rPr>
          <w:rFonts w:ascii="Calibri" w:eastAsia="Calibri" w:hAnsi="Calibri" w:cs="Mangal"/>
          <w:b w:val="0"/>
          <w:sz w:val="24"/>
          <w:szCs w:val="24"/>
        </w:rPr>
        <w:t>.</w:t>
      </w:r>
    </w:p>
    <w:p w14:paraId="00571954" w14:textId="77777777" w:rsidR="00E96621" w:rsidRPr="00E96621" w:rsidRDefault="00E96621" w:rsidP="00E96621">
      <w:pPr>
        <w:keepNext/>
        <w:keepLines/>
        <w:spacing w:before="240" w:line="256" w:lineRule="auto"/>
        <w:outlineLvl w:val="0"/>
        <w:rPr>
          <w:rFonts w:ascii="Calibri Light" w:hAnsi="Calibri Light" w:cs="Mangal"/>
          <w:b w:val="0"/>
          <w:color w:val="2F5496"/>
          <w:sz w:val="32"/>
          <w:szCs w:val="32"/>
        </w:rPr>
      </w:pPr>
      <w:r w:rsidRPr="00E96621">
        <w:rPr>
          <w:rFonts w:ascii="Calibri Light" w:hAnsi="Calibri Light" w:cs="Mangal"/>
          <w:b w:val="0"/>
          <w:color w:val="2F5496"/>
          <w:sz w:val="32"/>
          <w:szCs w:val="32"/>
        </w:rPr>
        <w:t xml:space="preserve">About The American Council of the Blind </w:t>
      </w:r>
    </w:p>
    <w:p w14:paraId="287350D5" w14:textId="77777777" w:rsidR="00E96621" w:rsidRPr="00E96621" w:rsidRDefault="00E96621" w:rsidP="00E96621">
      <w:pPr>
        <w:spacing w:after="160" w:line="256" w:lineRule="auto"/>
        <w:rPr>
          <w:rFonts w:ascii="Calibri" w:eastAsia="Calibri" w:hAnsi="Calibri" w:cs="Calibri"/>
          <w:b w:val="0"/>
          <w:sz w:val="24"/>
          <w:szCs w:val="24"/>
        </w:rPr>
      </w:pPr>
      <w:r w:rsidRPr="00E96621">
        <w:rPr>
          <w:rFonts w:ascii="Calibri" w:eastAsia="Calibri" w:hAnsi="Calibri" w:cs="Calibri"/>
          <w:b w:val="0"/>
          <w:sz w:val="24"/>
          <w:szCs w:val="24"/>
        </w:rPr>
        <w:t>Founded in 1961, the American Council of the Blind (“ACB”) seeks to increase the independence, security, equality of opportunity, and quality of life for all blind and visually impaired people. ACB exists to ensure that governments, businesses, employers, and other individuals comply with the hard-won laws that protect the rights of people who are blind or visually impaired to participate fully in all aspects of American society.</w:t>
      </w:r>
    </w:p>
    <w:p w14:paraId="6AF0C063" w14:textId="77777777" w:rsidR="00E96621" w:rsidRPr="00E96621" w:rsidRDefault="00E96621" w:rsidP="00E96621">
      <w:pPr>
        <w:spacing w:after="160" w:line="256" w:lineRule="auto"/>
        <w:rPr>
          <w:rFonts w:ascii="Calibri" w:eastAsia="Calibri" w:hAnsi="Calibri" w:cs="Calibri"/>
          <w:b w:val="0"/>
          <w:sz w:val="24"/>
          <w:szCs w:val="24"/>
        </w:rPr>
      </w:pPr>
      <w:r w:rsidRPr="00E96621">
        <w:rPr>
          <w:rFonts w:ascii="Calibri" w:eastAsia="Calibri" w:hAnsi="Calibri" w:cs="Calibri"/>
          <w:b w:val="0"/>
          <w:sz w:val="24"/>
          <w:szCs w:val="24"/>
        </w:rPr>
        <w:lastRenderedPageBreak/>
        <w:t xml:space="preserve">ACB has been striving for accessible user experiences for the past 45 years. ACB has also worked collaboratively with health care providers, such as the INOVA hospital system in northern Virginia, to ensure that communications with blind patients are accessible and inclusive for blind patients, and with CVS pharmacy to ensure that prescription labels are accessible. </w:t>
      </w:r>
    </w:p>
    <w:p w14:paraId="3111895B" w14:textId="73B85E37" w:rsidR="00E96621" w:rsidRPr="00E96621" w:rsidRDefault="00E96621" w:rsidP="00E96621">
      <w:pPr>
        <w:spacing w:after="160" w:line="256" w:lineRule="auto"/>
        <w:rPr>
          <w:rFonts w:ascii="Calibri" w:eastAsia="Calibri" w:hAnsi="Calibri" w:cs="Calibri"/>
          <w:b w:val="0"/>
          <w:sz w:val="24"/>
          <w:szCs w:val="24"/>
        </w:rPr>
      </w:pPr>
      <w:r w:rsidRPr="00E96621">
        <w:rPr>
          <w:rFonts w:ascii="Calibri" w:eastAsia="Calibri" w:hAnsi="Calibri" w:cs="Calibri"/>
          <w:b w:val="0"/>
          <w:sz w:val="24"/>
          <w:szCs w:val="24"/>
        </w:rPr>
        <w:t>Although ACB prefers to use direct advocacy and structured negotiations to address the access rights of people who are blind or visually impaired, it has also filed lawsuits when other advocacy approaches did not work. For example, ACB leads the currently pending lawsuits against Quest Diagnostics and LabCorp for violating federal civil rights laws by failing to make the services offered by these compan</w:t>
      </w:r>
      <w:r w:rsidR="00AF685D">
        <w:rPr>
          <w:rFonts w:ascii="Calibri" w:eastAsia="Calibri" w:hAnsi="Calibri" w:cs="Calibri"/>
          <w:b w:val="0"/>
          <w:sz w:val="24"/>
          <w:szCs w:val="24"/>
        </w:rPr>
        <w:t xml:space="preserve">ies’ </w:t>
      </w:r>
      <w:r w:rsidRPr="00E96621">
        <w:rPr>
          <w:rFonts w:ascii="Calibri" w:eastAsia="Calibri" w:hAnsi="Calibri" w:cs="Calibri"/>
          <w:b w:val="0"/>
          <w:sz w:val="24"/>
          <w:szCs w:val="24"/>
        </w:rPr>
        <w:t>Check-in kiosks accessible to blind patients.  In December 2021, the presiding judge in federal court in California certified a nationwide class action on behalf of all legally blind individuals who visited Quest in 2018 and 2019 and who were denied full and equal enjoyment of Quest’s services due to Quest’s failure to make its self-service kiosks independently accessible. The judge also denied defendant’s motions for summary judgment, ruling that the case should proceed to trial.</w:t>
      </w:r>
      <w:r w:rsidRPr="00E96621">
        <w:rPr>
          <w:rFonts w:ascii="Calibri" w:eastAsia="Calibri" w:hAnsi="Calibri" w:cs="Calibri"/>
          <w:b w:val="0"/>
          <w:sz w:val="24"/>
          <w:szCs w:val="24"/>
          <w:vertAlign w:val="superscript"/>
        </w:rPr>
        <w:footnoteReference w:id="8"/>
      </w:r>
      <w:r w:rsidRPr="00E96621">
        <w:rPr>
          <w:rFonts w:ascii="Calibri" w:eastAsia="Calibri" w:hAnsi="Calibri" w:cs="Calibri"/>
          <w:b w:val="0"/>
          <w:sz w:val="24"/>
          <w:szCs w:val="24"/>
        </w:rPr>
        <w:t xml:space="preserve">  </w:t>
      </w:r>
    </w:p>
    <w:p w14:paraId="08CF3769" w14:textId="77777777" w:rsidR="00E96621" w:rsidRPr="00E96621" w:rsidRDefault="00E96621" w:rsidP="00E96621">
      <w:pPr>
        <w:keepNext/>
        <w:keepLines/>
        <w:spacing w:before="240" w:line="256" w:lineRule="auto"/>
        <w:outlineLvl w:val="0"/>
        <w:rPr>
          <w:rFonts w:ascii="Calibri Light" w:hAnsi="Calibri Light" w:cs="Mangal"/>
          <w:b w:val="0"/>
          <w:color w:val="2F5496"/>
          <w:sz w:val="32"/>
          <w:szCs w:val="32"/>
        </w:rPr>
      </w:pPr>
      <w:r w:rsidRPr="00E96621">
        <w:rPr>
          <w:rFonts w:ascii="Calibri Light" w:hAnsi="Calibri Light" w:cs="Mangal"/>
          <w:b w:val="0"/>
          <w:color w:val="2F5496"/>
          <w:sz w:val="32"/>
          <w:szCs w:val="32"/>
        </w:rPr>
        <w:t xml:space="preserve">Conclusion </w:t>
      </w:r>
    </w:p>
    <w:p w14:paraId="108D7856" w14:textId="77777777" w:rsidR="00E96621" w:rsidRPr="00E96621" w:rsidRDefault="00E96621" w:rsidP="00E96621">
      <w:pPr>
        <w:spacing w:after="160" w:line="256" w:lineRule="auto"/>
        <w:rPr>
          <w:rFonts w:ascii="Calibri" w:eastAsia="Calibri" w:hAnsi="Calibri" w:cs="Calibri"/>
          <w:b w:val="0"/>
          <w:sz w:val="24"/>
          <w:szCs w:val="24"/>
        </w:rPr>
      </w:pPr>
      <w:r w:rsidRPr="00E96621">
        <w:rPr>
          <w:rFonts w:ascii="Calibri" w:eastAsia="Calibri" w:hAnsi="Calibri" w:cs="Calibri"/>
          <w:b w:val="0"/>
          <w:sz w:val="24"/>
          <w:szCs w:val="24"/>
        </w:rPr>
        <w:t xml:space="preserve">Thank you for your attention to this important matter. </w:t>
      </w:r>
    </w:p>
    <w:p w14:paraId="1E4E2FC5" w14:textId="77777777" w:rsidR="00E96621" w:rsidRPr="00E96621" w:rsidRDefault="00E96621" w:rsidP="00E96621">
      <w:pPr>
        <w:spacing w:after="160" w:line="256" w:lineRule="auto"/>
        <w:rPr>
          <w:rFonts w:ascii="Calibri" w:eastAsia="Calibri" w:hAnsi="Calibri" w:cs="Calibri"/>
          <w:b w:val="0"/>
          <w:sz w:val="24"/>
          <w:szCs w:val="24"/>
        </w:rPr>
      </w:pPr>
    </w:p>
    <w:p w14:paraId="388B58B5" w14:textId="2257A496" w:rsidR="00E96621" w:rsidRPr="00E96621" w:rsidRDefault="00E96621" w:rsidP="00E96621">
      <w:pPr>
        <w:tabs>
          <w:tab w:val="left" w:pos="4340"/>
        </w:tabs>
        <w:spacing w:after="160" w:line="256" w:lineRule="auto"/>
        <w:rPr>
          <w:rFonts w:ascii="Calibri" w:eastAsia="Calibri" w:hAnsi="Calibri" w:cs="Calibri"/>
          <w:b w:val="0"/>
          <w:sz w:val="24"/>
          <w:szCs w:val="24"/>
        </w:rPr>
      </w:pPr>
      <w:r w:rsidRPr="00E96621">
        <w:rPr>
          <w:rFonts w:ascii="Calibri" w:eastAsia="Calibri" w:hAnsi="Calibri" w:cs="Calibri"/>
          <w:b w:val="0"/>
          <w:sz w:val="24"/>
          <w:szCs w:val="24"/>
        </w:rPr>
        <w:t xml:space="preserve">Sincerely, </w:t>
      </w:r>
      <w:r>
        <w:rPr>
          <w:rFonts w:ascii="Calibri" w:eastAsia="Calibri" w:hAnsi="Calibri" w:cs="Calibri"/>
          <w:b w:val="0"/>
          <w:sz w:val="24"/>
          <w:szCs w:val="24"/>
        </w:rPr>
        <w:tab/>
      </w:r>
    </w:p>
    <w:p w14:paraId="54D6DDD0" w14:textId="77777777" w:rsidR="00E96621" w:rsidRPr="00E96621" w:rsidRDefault="00E96621" w:rsidP="00E96621">
      <w:pPr>
        <w:spacing w:after="160" w:line="256" w:lineRule="auto"/>
        <w:rPr>
          <w:rFonts w:ascii="Calibri" w:eastAsia="Calibri" w:hAnsi="Calibri" w:cs="Calibri"/>
          <w:b w:val="0"/>
          <w:sz w:val="24"/>
          <w:szCs w:val="24"/>
        </w:rPr>
      </w:pPr>
      <w:r w:rsidRPr="00E96621">
        <w:rPr>
          <w:rFonts w:ascii="Calibri" w:eastAsia="Calibri" w:hAnsi="Calibri" w:cs="Calibri"/>
          <w:b w:val="0"/>
          <w:sz w:val="24"/>
          <w:szCs w:val="24"/>
        </w:rPr>
        <w:t xml:space="preserve">The American Council of the Blind </w:t>
      </w:r>
    </w:p>
    <w:p w14:paraId="52084808" w14:textId="77777777" w:rsidR="00E96621" w:rsidRPr="00E96621" w:rsidRDefault="00E96621" w:rsidP="00E96621">
      <w:pPr>
        <w:rPr>
          <w:rFonts w:ascii="Calibri" w:hAnsi="Calibri" w:cs="Calibri"/>
          <w:b w:val="0"/>
          <w:sz w:val="24"/>
          <w:szCs w:val="24"/>
        </w:rPr>
      </w:pPr>
    </w:p>
    <w:p w14:paraId="4929A0E9" w14:textId="22C04216" w:rsidR="008E3887" w:rsidRPr="008E3887" w:rsidRDefault="008E3887">
      <w:pPr>
        <w:rPr>
          <w:rFonts w:asciiTheme="minorHAnsi" w:hAnsiTheme="minorHAnsi" w:cs="Tahoma"/>
          <w:b w:val="0"/>
          <w:sz w:val="22"/>
          <w:szCs w:val="22"/>
        </w:rPr>
      </w:pPr>
    </w:p>
    <w:sectPr w:rsidR="008E3887" w:rsidRPr="008E3887" w:rsidSect="00905FE4">
      <w:headerReference w:type="default" r:id="rId14"/>
      <w:footerReference w:type="default" r:id="rId15"/>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A457" w14:textId="77777777" w:rsidR="00AA3790" w:rsidRDefault="00AA3790" w:rsidP="00825317">
      <w:r>
        <w:separator/>
      </w:r>
    </w:p>
  </w:endnote>
  <w:endnote w:type="continuationSeparator" w:id="0">
    <w:p w14:paraId="6BCB5D3A" w14:textId="77777777" w:rsidR="00AA3790" w:rsidRDefault="00AA3790"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C8ED" w14:textId="77777777" w:rsidR="006509C4" w:rsidRPr="006509C4" w:rsidRDefault="006509C4" w:rsidP="006509C4">
    <w:pPr>
      <w:rPr>
        <w:rFonts w:asciiTheme="minorHAnsi" w:hAnsiTheme="minorHAnsi" w:cstheme="minorHAnsi"/>
        <w:b w:val="0"/>
        <w:bCs/>
        <w:sz w:val="20"/>
        <w:szCs w:val="20"/>
      </w:rPr>
    </w:pPr>
    <w:r w:rsidRPr="006509C4">
      <w:rPr>
        <w:rFonts w:cstheme="minorHAnsi"/>
        <w:b w:val="0"/>
        <w:bCs/>
        <w:sz w:val="20"/>
        <w:szCs w:val="20"/>
      </w:rPr>
      <w:t>GUIDANCE AND RESOURCES FOR HEALTH CARE PROVIDERS REGARDING THE ACCESSIBILITY OF HEALTH CARE TECHNOLOGY FOR BLIND AND LOW VISION PATIENTS (November 2022)</w:t>
    </w:r>
  </w:p>
  <w:p w14:paraId="7638C6D7" w14:textId="77777777" w:rsidR="006509C4" w:rsidRDefault="006509C4" w:rsidP="006509C4">
    <w:pPr>
      <w:pStyle w:val="Footer"/>
    </w:pPr>
  </w:p>
  <w:sdt>
    <w:sdtPr>
      <w:id w:val="1688023696"/>
      <w:docPartObj>
        <w:docPartGallery w:val="Page Numbers (Bottom of Page)"/>
        <w:docPartUnique/>
      </w:docPartObj>
    </w:sdtPr>
    <w:sdtEndPr>
      <w:rPr>
        <w:b w:val="0"/>
        <w:bCs/>
        <w:noProof/>
      </w:rPr>
    </w:sdtEndPr>
    <w:sdtContent>
      <w:p w14:paraId="02E19AB4" w14:textId="10F3DB82" w:rsidR="00B1410E" w:rsidRPr="00B37B09" w:rsidRDefault="00B1410E" w:rsidP="006509C4">
        <w:pPr>
          <w:pStyle w:val="Footer"/>
          <w:jc w:val="center"/>
          <w:rPr>
            <w:b w:val="0"/>
            <w:bCs/>
          </w:rPr>
        </w:pPr>
        <w:r w:rsidRPr="00B37B09">
          <w:rPr>
            <w:b w:val="0"/>
            <w:bCs/>
          </w:rPr>
          <w:fldChar w:fldCharType="begin"/>
        </w:r>
        <w:r w:rsidRPr="00B37B09">
          <w:rPr>
            <w:b w:val="0"/>
            <w:bCs/>
          </w:rPr>
          <w:instrText xml:space="preserve"> PAGE   \* MERGEFORMAT </w:instrText>
        </w:r>
        <w:r w:rsidRPr="00B37B09">
          <w:rPr>
            <w:b w:val="0"/>
            <w:bCs/>
          </w:rPr>
          <w:fldChar w:fldCharType="separate"/>
        </w:r>
        <w:r w:rsidRPr="00B37B09">
          <w:rPr>
            <w:b w:val="0"/>
            <w:bCs/>
            <w:noProof/>
          </w:rPr>
          <w:t>2</w:t>
        </w:r>
        <w:r w:rsidRPr="00B37B09">
          <w:rPr>
            <w:b w:val="0"/>
            <w:bCs/>
            <w:noProof/>
          </w:rPr>
          <w:fldChar w:fldCharType="end"/>
        </w:r>
      </w:p>
    </w:sdtContent>
  </w:sdt>
  <w:p w14:paraId="1DA9FFEC" w14:textId="77777777" w:rsidR="00B1410E" w:rsidRDefault="00B14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53EC" w14:textId="77777777" w:rsidR="00AA3790" w:rsidRDefault="00AA3790" w:rsidP="00825317">
      <w:r>
        <w:separator/>
      </w:r>
    </w:p>
  </w:footnote>
  <w:footnote w:type="continuationSeparator" w:id="0">
    <w:p w14:paraId="2CB5EE77" w14:textId="77777777" w:rsidR="00AA3790" w:rsidRDefault="00AA3790" w:rsidP="00825317">
      <w:r>
        <w:continuationSeparator/>
      </w:r>
    </w:p>
  </w:footnote>
  <w:footnote w:id="1">
    <w:p w14:paraId="44B3FE0A" w14:textId="28D61398" w:rsidR="00E96621" w:rsidRDefault="00E96621" w:rsidP="00CF5D30">
      <w:pPr>
        <w:pStyle w:val="FootnoteText"/>
        <w:ind w:left="0" w:firstLine="0"/>
        <w:rPr>
          <w:rFonts w:cs="Calibri"/>
        </w:rPr>
      </w:pPr>
      <w:r>
        <w:rPr>
          <w:rStyle w:val="FootnoteReference"/>
          <w:rFonts w:cs="Calibri"/>
        </w:rPr>
        <w:footnoteRef/>
      </w:r>
      <w:r>
        <w:rPr>
          <w:rFonts w:cs="Calibri"/>
        </w:rPr>
        <w:t xml:space="preserve"> Although this letter focuses on recent technologies, such as virtual Patient Portals, telehealth platforms, and kiosks, the obligation to provide reasonable accommodations to blind and low vision users extends well beyond these issues to all aspects of patient care. </w:t>
      </w:r>
    </w:p>
  </w:footnote>
  <w:footnote w:id="2">
    <w:p w14:paraId="48259A60" w14:textId="450C070B" w:rsidR="00E96621" w:rsidRDefault="00E96621" w:rsidP="00CF5D30">
      <w:pPr>
        <w:pStyle w:val="FootnoteText"/>
        <w:ind w:left="0" w:firstLine="0"/>
        <w:rPr>
          <w:rFonts w:cs="Mangal"/>
        </w:rPr>
      </w:pPr>
      <w:r>
        <w:rPr>
          <w:rStyle w:val="FootnoteReference"/>
          <w:rFonts w:cs="Calibri"/>
        </w:rPr>
        <w:footnoteRef/>
      </w:r>
      <w:r>
        <w:rPr>
          <w:rFonts w:cs="Calibri"/>
        </w:rPr>
        <w:t xml:space="preserve"> </w:t>
      </w:r>
      <w:r>
        <w:rPr>
          <w:rFonts w:eastAsia="Calibri" w:cs="Calibri"/>
          <w:lang w:eastAsia="en-US"/>
        </w:rPr>
        <w:t xml:space="preserve">Screen readers consist of software with which blind technology users can independently access and interact with properly coded websites and mobile applications.  On a computer, they do so with a combination of hardware and software that allow someone who cannot see the screen to find, navigate, and interact with on-screen content using the keyboard instead of a mouse.  When a website or mobile application is properly developed, the software provides information about interface elements, such as headings, hyperlinks, buttons, form fields, and images. The most common type of software reads screen content and certain coding cues aloud by means of a speech synthesizer. It allows users to skim pages, screens, documents, and tables by navigating with designated keystrokes. Instead of or in addition to speech output, computer users with visual impairments may use a braille display as the output </w:t>
      </w:r>
      <w:proofErr w:type="gramStart"/>
      <w:r>
        <w:rPr>
          <w:rFonts w:eastAsia="Calibri" w:cs="Calibri"/>
          <w:lang w:eastAsia="en-US"/>
        </w:rPr>
        <w:t>medium,</w:t>
      </w:r>
      <w:r w:rsidR="000D7329">
        <w:rPr>
          <w:rFonts w:eastAsia="Calibri" w:cs="Calibri"/>
          <w:lang w:eastAsia="en-US"/>
        </w:rPr>
        <w:t xml:space="preserve"> </w:t>
      </w:r>
      <w:r>
        <w:rPr>
          <w:rFonts w:eastAsia="Calibri" w:cs="Calibri"/>
          <w:lang w:eastAsia="en-US"/>
        </w:rPr>
        <w:t>or</w:t>
      </w:r>
      <w:proofErr w:type="gramEnd"/>
      <w:r>
        <w:rPr>
          <w:rFonts w:eastAsia="Calibri" w:cs="Calibri"/>
          <w:lang w:eastAsia="en-US"/>
        </w:rPr>
        <w:t xml:space="preserve"> rely on software that significantly enhances text size</w:t>
      </w:r>
      <w:r>
        <w:rPr>
          <w:rFonts w:eastAsia="Calibri"/>
          <w:sz w:val="22"/>
          <w:szCs w:val="22"/>
          <w:lang w:eastAsia="en-US"/>
        </w:rPr>
        <w:t xml:space="preserve">.  </w:t>
      </w:r>
    </w:p>
  </w:footnote>
  <w:footnote w:id="3">
    <w:p w14:paraId="65A03F6C" w14:textId="77777777" w:rsidR="00E96621" w:rsidRDefault="00E96621" w:rsidP="00E96621">
      <w:pPr>
        <w:pStyle w:val="FootnoteText"/>
      </w:pPr>
      <w:r>
        <w:rPr>
          <w:rStyle w:val="FootnoteReference"/>
        </w:rPr>
        <w:footnoteRef/>
      </w:r>
      <w:r>
        <w:t xml:space="preserve"> Available at </w:t>
      </w:r>
      <w:hyperlink r:id="rId1" w:history="1">
        <w:r>
          <w:rPr>
            <w:rStyle w:val="Hyperlink"/>
          </w:rPr>
          <w:t>https://www.w3.org/TR/WCAG21/</w:t>
        </w:r>
      </w:hyperlink>
      <w:r>
        <w:t xml:space="preserve">. </w:t>
      </w:r>
    </w:p>
  </w:footnote>
  <w:footnote w:id="4">
    <w:p w14:paraId="4FADF750" w14:textId="77777777" w:rsidR="00E96621" w:rsidRDefault="00E96621" w:rsidP="00E96621">
      <w:pPr>
        <w:pStyle w:val="FootnoteText"/>
      </w:pPr>
      <w:r>
        <w:rPr>
          <w:rStyle w:val="FootnoteReference"/>
        </w:rPr>
        <w:footnoteRef/>
      </w:r>
      <w:r>
        <w:t xml:space="preserve"> Available at </w:t>
      </w:r>
      <w:hyperlink r:id="rId2" w:history="1">
        <w:r>
          <w:rPr>
            <w:rStyle w:val="Hyperlink"/>
          </w:rPr>
          <w:t>https://blogs.microsoft.com/accessibility/10-habits-to-create-accessible-content/</w:t>
        </w:r>
      </w:hyperlink>
      <w:r>
        <w:t xml:space="preserve">. </w:t>
      </w:r>
    </w:p>
  </w:footnote>
  <w:footnote w:id="5">
    <w:p w14:paraId="5FF5932C" w14:textId="0779F23B" w:rsidR="00E96621" w:rsidRDefault="00E96621" w:rsidP="0047015A">
      <w:pPr>
        <w:pStyle w:val="FootnoteText"/>
        <w:ind w:left="0" w:firstLine="0"/>
      </w:pPr>
      <w:r>
        <w:rPr>
          <w:rStyle w:val="FootnoteReference"/>
        </w:rPr>
        <w:footnoteRef/>
      </w:r>
      <w:r>
        <w:t xml:space="preserve"> Available at </w:t>
      </w:r>
      <w:bookmarkStart w:id="3" w:name="_Hlk120010857"/>
      <w:r w:rsidR="0047015A" w:rsidRPr="0047015A">
        <w:t>https://www.justice.gov/usao-mdpa/pr/justice-department-secures-settlement-rite-aid-corporation-make-its-online-covid-19#:~:text=HARRISBURG%20-%20The%20United%20States%20Attorney%E2%80%99s%20Office%20for,about%20COVID-19%20vaccinations%20and%20book%20their%20vaccinations%20online.</w:t>
      </w:r>
      <w:bookmarkEnd w:id="3"/>
    </w:p>
  </w:footnote>
  <w:footnote w:id="6">
    <w:p w14:paraId="6B1BFA64" w14:textId="77777777" w:rsidR="00E96621" w:rsidRDefault="00E96621" w:rsidP="00E96621">
      <w:pPr>
        <w:pStyle w:val="FootnoteText"/>
      </w:pPr>
      <w:r>
        <w:rPr>
          <w:rStyle w:val="FootnoteReference"/>
        </w:rPr>
        <w:footnoteRef/>
      </w:r>
      <w:r>
        <w:t xml:space="preserve"> Available at https://www.hhs.gov/sites/default/files/ocr-guidance-electronic-information-technology.pdf.</w:t>
      </w:r>
    </w:p>
  </w:footnote>
  <w:footnote w:id="7">
    <w:p w14:paraId="2B61AE63" w14:textId="0FA2F098" w:rsidR="00E96621" w:rsidRDefault="00E96621" w:rsidP="00E96621">
      <w:pPr>
        <w:pStyle w:val="FootnoteText"/>
      </w:pPr>
      <w:r>
        <w:rPr>
          <w:rStyle w:val="FootnoteReference"/>
        </w:rPr>
        <w:footnoteRef/>
      </w:r>
      <w:r>
        <w:t xml:space="preserve"> Available at https://www.hhs.gov/sites/default/files/guidance-on-nondiscrimination-in-telehealth.pdf.</w:t>
      </w:r>
    </w:p>
  </w:footnote>
  <w:footnote w:id="8">
    <w:p w14:paraId="5D6BE0B5" w14:textId="77777777" w:rsidR="00E96621" w:rsidRDefault="00E96621" w:rsidP="002B0F99">
      <w:pPr>
        <w:pStyle w:val="FootnoteText"/>
        <w:ind w:left="0" w:firstLine="0"/>
      </w:pPr>
      <w:r>
        <w:rPr>
          <w:rStyle w:val="FootnoteReference"/>
        </w:rPr>
        <w:footnoteRef/>
      </w:r>
      <w:r>
        <w:t xml:space="preserve"> See </w:t>
      </w:r>
      <w:hyperlink r:id="rId3" w:history="1">
        <w:r>
          <w:rPr>
            <w:rStyle w:val="Hyperlink"/>
          </w:rPr>
          <w:t>Court Certifies Nationwide Disability Rights Class Action Against Quest Diagnostics for Use of Inaccessible Touch Screen Kiosks, and Rejects Quest’s Request to Declare That Its Inaccessible Kiosks Comply with the ADA | American Council of the Blind (acb.org)</w:t>
        </w:r>
      </w:hyperlink>
      <w:r>
        <w:t xml:space="preserve"> available at https://www.acb.org/Quest-inaccessible-kiosks-press-release.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40A7" w14:textId="32F566E3" w:rsidR="00E02008" w:rsidRDefault="00E02008">
    <w:pPr>
      <w:pStyle w:val="Header"/>
    </w:pPr>
  </w:p>
  <w:p w14:paraId="7C260536" w14:textId="77777777" w:rsidR="00E02008" w:rsidRDefault="00E02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7D6B"/>
    <w:multiLevelType w:val="hybridMultilevel"/>
    <w:tmpl w:val="1A7C563E"/>
    <w:lvl w:ilvl="0" w:tplc="ECBA3528">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391696"/>
    <w:multiLevelType w:val="hybridMultilevel"/>
    <w:tmpl w:val="3C98E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05215"/>
    <w:multiLevelType w:val="hybridMultilevel"/>
    <w:tmpl w:val="49C20C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5D472D5F"/>
    <w:multiLevelType w:val="hybridMultilevel"/>
    <w:tmpl w:val="9C505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136A9A"/>
    <w:multiLevelType w:val="hybridMultilevel"/>
    <w:tmpl w:val="A566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62089417">
    <w:abstractNumId w:val="3"/>
  </w:num>
  <w:num w:numId="2" w16cid:durableId="1287733363">
    <w:abstractNumId w:val="7"/>
  </w:num>
  <w:num w:numId="3" w16cid:durableId="1286429220">
    <w:abstractNumId w:val="15"/>
  </w:num>
  <w:num w:numId="4" w16cid:durableId="2093429959">
    <w:abstractNumId w:val="17"/>
  </w:num>
  <w:num w:numId="5" w16cid:durableId="243540595">
    <w:abstractNumId w:val="9"/>
  </w:num>
  <w:num w:numId="6" w16cid:durableId="1591507865">
    <w:abstractNumId w:val="18"/>
  </w:num>
  <w:num w:numId="7" w16cid:durableId="652291734">
    <w:abstractNumId w:val="5"/>
  </w:num>
  <w:num w:numId="8" w16cid:durableId="259023088">
    <w:abstractNumId w:val="4"/>
  </w:num>
  <w:num w:numId="9" w16cid:durableId="212548154">
    <w:abstractNumId w:val="14"/>
  </w:num>
  <w:num w:numId="10" w16cid:durableId="586498069">
    <w:abstractNumId w:val="8"/>
  </w:num>
  <w:num w:numId="11" w16cid:durableId="990643778">
    <w:abstractNumId w:val="11"/>
  </w:num>
  <w:num w:numId="12" w16cid:durableId="1449086467">
    <w:abstractNumId w:val="2"/>
  </w:num>
  <w:num w:numId="13" w16cid:durableId="1521775197">
    <w:abstractNumId w:val="6"/>
  </w:num>
  <w:num w:numId="14" w16cid:durableId="851797170">
    <w:abstractNumId w:val="0"/>
  </w:num>
  <w:num w:numId="15" w16cid:durableId="1126125424">
    <w:abstractNumId w:val="12"/>
  </w:num>
  <w:num w:numId="16" w16cid:durableId="1464469318">
    <w:abstractNumId w:val="10"/>
  </w:num>
  <w:num w:numId="17" w16cid:durableId="1712456171">
    <w:abstractNumId w:val="1"/>
  </w:num>
  <w:num w:numId="18" w16cid:durableId="1657224169">
    <w:abstractNumId w:val="13"/>
  </w:num>
  <w:num w:numId="19" w16cid:durableId="15516496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01FF8"/>
    <w:rsid w:val="00053BF3"/>
    <w:rsid w:val="00056E09"/>
    <w:rsid w:val="00083473"/>
    <w:rsid w:val="000929D6"/>
    <w:rsid w:val="000B203B"/>
    <w:rsid w:val="000C743B"/>
    <w:rsid w:val="000D7329"/>
    <w:rsid w:val="00104A5A"/>
    <w:rsid w:val="00160B7A"/>
    <w:rsid w:val="001B251E"/>
    <w:rsid w:val="001D7B5B"/>
    <w:rsid w:val="001E561E"/>
    <w:rsid w:val="00201833"/>
    <w:rsid w:val="00203AE3"/>
    <w:rsid w:val="00224BE7"/>
    <w:rsid w:val="0023518A"/>
    <w:rsid w:val="00271FE9"/>
    <w:rsid w:val="00276DE9"/>
    <w:rsid w:val="00297DF0"/>
    <w:rsid w:val="002B0F99"/>
    <w:rsid w:val="002D3E0E"/>
    <w:rsid w:val="00300AF8"/>
    <w:rsid w:val="00314A63"/>
    <w:rsid w:val="00330A95"/>
    <w:rsid w:val="00335ABF"/>
    <w:rsid w:val="003371A2"/>
    <w:rsid w:val="00341B1B"/>
    <w:rsid w:val="00356462"/>
    <w:rsid w:val="0037524B"/>
    <w:rsid w:val="0038194F"/>
    <w:rsid w:val="003C6100"/>
    <w:rsid w:val="00432313"/>
    <w:rsid w:val="0047015A"/>
    <w:rsid w:val="00476D55"/>
    <w:rsid w:val="004827BC"/>
    <w:rsid w:val="004859D9"/>
    <w:rsid w:val="0048604F"/>
    <w:rsid w:val="0048703C"/>
    <w:rsid w:val="004B0C43"/>
    <w:rsid w:val="004B1C2A"/>
    <w:rsid w:val="0052551C"/>
    <w:rsid w:val="0054242A"/>
    <w:rsid w:val="0058312C"/>
    <w:rsid w:val="00584435"/>
    <w:rsid w:val="00587D6A"/>
    <w:rsid w:val="005901FA"/>
    <w:rsid w:val="005C3262"/>
    <w:rsid w:val="005E6D8D"/>
    <w:rsid w:val="006052E1"/>
    <w:rsid w:val="00612E4E"/>
    <w:rsid w:val="006509C4"/>
    <w:rsid w:val="00664D20"/>
    <w:rsid w:val="00685443"/>
    <w:rsid w:val="006B7C03"/>
    <w:rsid w:val="007139FA"/>
    <w:rsid w:val="00721072"/>
    <w:rsid w:val="00750CB6"/>
    <w:rsid w:val="007764CE"/>
    <w:rsid w:val="00780681"/>
    <w:rsid w:val="00792A74"/>
    <w:rsid w:val="007B38EB"/>
    <w:rsid w:val="007D7CFB"/>
    <w:rsid w:val="007E7F6E"/>
    <w:rsid w:val="00802A18"/>
    <w:rsid w:val="00825317"/>
    <w:rsid w:val="00832314"/>
    <w:rsid w:val="00874C85"/>
    <w:rsid w:val="008D13EC"/>
    <w:rsid w:val="008D3248"/>
    <w:rsid w:val="008D3DD6"/>
    <w:rsid w:val="008E3887"/>
    <w:rsid w:val="008F3DB9"/>
    <w:rsid w:val="008F7BEE"/>
    <w:rsid w:val="008F7D0F"/>
    <w:rsid w:val="00905FE4"/>
    <w:rsid w:val="00921137"/>
    <w:rsid w:val="009524CA"/>
    <w:rsid w:val="009A7FCC"/>
    <w:rsid w:val="009D5500"/>
    <w:rsid w:val="009F5F1C"/>
    <w:rsid w:val="00A04A32"/>
    <w:rsid w:val="00A503A0"/>
    <w:rsid w:val="00A62E26"/>
    <w:rsid w:val="00AA3790"/>
    <w:rsid w:val="00AB18C6"/>
    <w:rsid w:val="00AB4D9A"/>
    <w:rsid w:val="00AF685D"/>
    <w:rsid w:val="00B0390C"/>
    <w:rsid w:val="00B1410E"/>
    <w:rsid w:val="00B37B09"/>
    <w:rsid w:val="00B40601"/>
    <w:rsid w:val="00B77CE5"/>
    <w:rsid w:val="00C1383D"/>
    <w:rsid w:val="00C73AF9"/>
    <w:rsid w:val="00CB752A"/>
    <w:rsid w:val="00CF5D30"/>
    <w:rsid w:val="00D0496C"/>
    <w:rsid w:val="00D113DE"/>
    <w:rsid w:val="00D346B0"/>
    <w:rsid w:val="00D4279A"/>
    <w:rsid w:val="00D4374C"/>
    <w:rsid w:val="00D4692E"/>
    <w:rsid w:val="00D813C5"/>
    <w:rsid w:val="00DB4011"/>
    <w:rsid w:val="00DC69E3"/>
    <w:rsid w:val="00DD0FC3"/>
    <w:rsid w:val="00E02008"/>
    <w:rsid w:val="00E15B6D"/>
    <w:rsid w:val="00E25664"/>
    <w:rsid w:val="00E93010"/>
    <w:rsid w:val="00E96621"/>
    <w:rsid w:val="00EA3644"/>
    <w:rsid w:val="00EA67E6"/>
    <w:rsid w:val="00EC6222"/>
    <w:rsid w:val="00F0282A"/>
    <w:rsid w:val="00F14E73"/>
    <w:rsid w:val="00F15AC3"/>
    <w:rsid w:val="00F53AC8"/>
    <w:rsid w:val="00FD5E9B"/>
    <w:rsid w:val="00FE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4D20"/>
    <w:rPr>
      <w:rFonts w:ascii="Arial" w:hAnsi="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6789">
      <w:bodyDiv w:val="1"/>
      <w:marLeft w:val="0"/>
      <w:marRight w:val="0"/>
      <w:marTop w:val="0"/>
      <w:marBottom w:val="0"/>
      <w:divBdr>
        <w:top w:val="none" w:sz="0" w:space="0" w:color="auto"/>
        <w:left w:val="none" w:sz="0" w:space="0" w:color="auto"/>
        <w:bottom w:val="none" w:sz="0" w:space="0" w:color="auto"/>
        <w:right w:val="none" w:sz="0" w:space="0" w:color="auto"/>
      </w:divBdr>
    </w:div>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 w:id="1966234741">
      <w:bodyDiv w:val="1"/>
      <w:marLeft w:val="0"/>
      <w:marRight w:val="0"/>
      <w:marTop w:val="0"/>
      <w:marBottom w:val="0"/>
      <w:divBdr>
        <w:top w:val="none" w:sz="0" w:space="0" w:color="auto"/>
        <w:left w:val="none" w:sz="0" w:space="0" w:color="auto"/>
        <w:bottom w:val="none" w:sz="0" w:space="0" w:color="auto"/>
        <w:right w:val="none" w:sz="0" w:space="0" w:color="auto"/>
      </w:divBdr>
    </w:div>
    <w:div w:id="19788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ivilrights.justice.gov/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hs.gov/sites/default/files/guidance-on-nondiscrimination-in-telehealt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sites/default/files/ocr-guidance-electronic-information-technolog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ustice.gov/usao-mdpa/pr/justice-department-secures-settlement-rite-aid-corporation-make-its-online-covid-19" TargetMode="External"/><Relationship Id="rId4" Type="http://schemas.openxmlformats.org/officeDocument/2006/relationships/settings" Target="settings.xml"/><Relationship Id="rId9" Type="http://schemas.openxmlformats.org/officeDocument/2006/relationships/hyperlink" Target="https://blogs.microsoft.com/accessibility/10-habits-to-create-accessible-cont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cb.org/Quest-inaccessible-kiosks-press-release" TargetMode="External"/><Relationship Id="rId2" Type="http://schemas.openxmlformats.org/officeDocument/2006/relationships/hyperlink" Target="https://blogs.microsoft.com/accessibility/10-habits-to-create-accessible-content/" TargetMode="External"/><Relationship Id="rId1"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17B67-1E01-3645-9752-031724FF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2022-11-22T20:38:00Z</dcterms:created>
  <dcterms:modified xsi:type="dcterms:W3CDTF">2022-11-22T20:38:00Z</dcterms:modified>
</cp:coreProperties>
</file>