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6436ED" w14:textId="77777777" w:rsidR="00B80B15" w:rsidRDefault="00B80B15" w:rsidP="0095319B">
      <w:pPr>
        <w:rPr>
          <w:rFonts w:eastAsiaTheme="minorHAnsi"/>
          <w:b/>
          <w:bCs/>
          <w:u w:val="single"/>
        </w:rPr>
      </w:pPr>
    </w:p>
    <w:p w14:paraId="224DB80C" w14:textId="18C4F6AF" w:rsidR="0095319B" w:rsidRDefault="00CE6BAF" w:rsidP="0095319B">
      <w:pPr>
        <w:rPr>
          <w:rFonts w:eastAsiaTheme="minorHAnsi"/>
        </w:rPr>
      </w:pPr>
      <w:r>
        <w:rPr>
          <w:rFonts w:eastAsiaTheme="minorHAnsi"/>
        </w:rPr>
        <w:t>April</w:t>
      </w:r>
      <w:r w:rsidR="00751609">
        <w:rPr>
          <w:rFonts w:eastAsiaTheme="minorHAnsi"/>
        </w:rPr>
        <w:t xml:space="preserve"> </w:t>
      </w:r>
      <w:r w:rsidR="00DF5E72">
        <w:rPr>
          <w:rFonts w:eastAsiaTheme="minorHAnsi"/>
        </w:rPr>
        <w:t>1</w:t>
      </w:r>
      <w:r w:rsidR="0095319B" w:rsidRPr="0095319B">
        <w:rPr>
          <w:rFonts w:eastAsiaTheme="minorHAnsi"/>
        </w:rPr>
        <w:t>, 2025</w:t>
      </w:r>
    </w:p>
    <w:p w14:paraId="09368A76" w14:textId="77777777" w:rsidR="0095319B" w:rsidRDefault="0095319B" w:rsidP="0095319B">
      <w:pPr>
        <w:rPr>
          <w:rFonts w:eastAsiaTheme="minorHAnsi"/>
        </w:rPr>
      </w:pPr>
    </w:p>
    <w:p w14:paraId="0CDC04C5" w14:textId="77777777" w:rsidR="0058645A" w:rsidRPr="0058645A" w:rsidRDefault="0058645A" w:rsidP="0058645A">
      <w:pPr>
        <w:rPr>
          <w:rFonts w:eastAsiaTheme="minorHAnsi"/>
          <w:b/>
          <w:u w:val="single"/>
        </w:rPr>
      </w:pPr>
      <w:r w:rsidRPr="0058645A">
        <w:rPr>
          <w:rFonts w:eastAsiaTheme="minorHAnsi"/>
          <w:b/>
          <w:u w:val="single"/>
        </w:rPr>
        <w:t>Submitted Electronically (stephanie.carlton@cms.hhs.gov)</w:t>
      </w:r>
    </w:p>
    <w:p w14:paraId="6FAFA074" w14:textId="77777777" w:rsidR="0058645A" w:rsidRPr="0058645A" w:rsidRDefault="0058645A" w:rsidP="0058645A">
      <w:pPr>
        <w:rPr>
          <w:rFonts w:eastAsiaTheme="minorHAnsi"/>
        </w:rPr>
      </w:pPr>
    </w:p>
    <w:p w14:paraId="3FAB6665" w14:textId="77777777" w:rsidR="0058645A" w:rsidRPr="0058645A" w:rsidRDefault="0058645A" w:rsidP="0058645A">
      <w:pPr>
        <w:rPr>
          <w:rFonts w:eastAsiaTheme="minorHAnsi"/>
        </w:rPr>
      </w:pPr>
      <w:bookmarkStart w:id="0" w:name="_Hlk192613132"/>
      <w:r w:rsidRPr="0058645A">
        <w:rPr>
          <w:rFonts w:eastAsiaTheme="minorHAnsi"/>
        </w:rPr>
        <w:t>The Honorable Stephanie Carlton</w:t>
      </w:r>
    </w:p>
    <w:p w14:paraId="2D840C08" w14:textId="77777777" w:rsidR="0058645A" w:rsidRPr="0058645A" w:rsidRDefault="0058645A" w:rsidP="0058645A">
      <w:pPr>
        <w:rPr>
          <w:rFonts w:eastAsiaTheme="minorHAnsi"/>
        </w:rPr>
      </w:pPr>
      <w:r w:rsidRPr="0058645A">
        <w:rPr>
          <w:rFonts w:eastAsiaTheme="minorHAnsi"/>
        </w:rPr>
        <w:t>Acting Administrator</w:t>
      </w:r>
    </w:p>
    <w:bookmarkEnd w:id="0"/>
    <w:p w14:paraId="3DCE527E" w14:textId="77777777" w:rsidR="0058645A" w:rsidRPr="0058645A" w:rsidRDefault="0058645A" w:rsidP="0058645A">
      <w:pPr>
        <w:rPr>
          <w:rFonts w:eastAsiaTheme="minorHAnsi"/>
        </w:rPr>
      </w:pPr>
      <w:r w:rsidRPr="0058645A">
        <w:rPr>
          <w:rFonts w:eastAsiaTheme="minorHAnsi"/>
        </w:rPr>
        <w:t>Center for Medicare and Medicaid Services</w:t>
      </w:r>
    </w:p>
    <w:p w14:paraId="2F3F7F78" w14:textId="77777777" w:rsidR="0058645A" w:rsidRPr="0058645A" w:rsidRDefault="0058645A" w:rsidP="0058645A">
      <w:pPr>
        <w:rPr>
          <w:rFonts w:eastAsiaTheme="minorHAnsi"/>
        </w:rPr>
      </w:pPr>
      <w:r w:rsidRPr="0058645A">
        <w:rPr>
          <w:rFonts w:eastAsiaTheme="minorHAnsi"/>
        </w:rPr>
        <w:t>U.S. Department of Health and Human Services</w:t>
      </w:r>
    </w:p>
    <w:p w14:paraId="3209F450" w14:textId="77777777" w:rsidR="0058645A" w:rsidRPr="0058645A" w:rsidRDefault="0058645A" w:rsidP="0058645A">
      <w:pPr>
        <w:rPr>
          <w:rFonts w:eastAsiaTheme="minorHAnsi"/>
        </w:rPr>
      </w:pPr>
      <w:r w:rsidRPr="0058645A">
        <w:rPr>
          <w:rFonts w:eastAsiaTheme="minorHAnsi"/>
        </w:rPr>
        <w:t>7500 Security Boulevard</w:t>
      </w:r>
    </w:p>
    <w:p w14:paraId="42EE731C" w14:textId="77777777" w:rsidR="0058645A" w:rsidRPr="0058645A" w:rsidRDefault="0058645A" w:rsidP="0058645A">
      <w:pPr>
        <w:rPr>
          <w:rFonts w:eastAsiaTheme="minorHAnsi"/>
        </w:rPr>
      </w:pPr>
      <w:r w:rsidRPr="0058645A">
        <w:rPr>
          <w:rFonts w:eastAsiaTheme="minorHAnsi"/>
        </w:rPr>
        <w:t>Baltimore, MD 21244</w:t>
      </w:r>
    </w:p>
    <w:p w14:paraId="40AE4942" w14:textId="77777777" w:rsidR="00DB51C0" w:rsidRPr="00DB51C0" w:rsidRDefault="00DB51C0" w:rsidP="00DB51C0">
      <w:pPr>
        <w:rPr>
          <w:rFonts w:eastAsiaTheme="minorHAnsi"/>
          <w:b/>
          <w:u w:val="single"/>
        </w:rPr>
      </w:pPr>
    </w:p>
    <w:p w14:paraId="793D4895" w14:textId="129231B4" w:rsidR="00DB51C0" w:rsidRPr="00DB51C0" w:rsidRDefault="00DB51C0" w:rsidP="00DB51C0">
      <w:pPr>
        <w:ind w:left="720" w:hanging="720"/>
        <w:rPr>
          <w:rFonts w:eastAsiaTheme="minorHAnsi"/>
          <w:b/>
          <w:u w:val="single"/>
        </w:rPr>
      </w:pPr>
      <w:r w:rsidRPr="00DB51C0">
        <w:rPr>
          <w:rFonts w:eastAsiaTheme="minorHAnsi"/>
          <w:b/>
        </w:rPr>
        <w:t>RE:</w:t>
      </w:r>
      <w:r w:rsidRPr="00DB51C0">
        <w:rPr>
          <w:rFonts w:eastAsiaTheme="minorHAnsi"/>
          <w:b/>
        </w:rPr>
        <w:tab/>
      </w:r>
      <w:r w:rsidRPr="00DB51C0">
        <w:rPr>
          <w:rFonts w:eastAsiaTheme="minorHAnsi"/>
          <w:b/>
          <w:u w:val="single"/>
        </w:rPr>
        <w:t>Recommendation</w:t>
      </w:r>
      <w:r w:rsidR="00795BC4">
        <w:rPr>
          <w:rFonts w:eastAsiaTheme="minorHAnsi"/>
          <w:b/>
          <w:u w:val="single"/>
        </w:rPr>
        <w:t xml:space="preserve"> for </w:t>
      </w:r>
      <w:r w:rsidRPr="00DB51C0">
        <w:rPr>
          <w:rFonts w:eastAsiaTheme="minorHAnsi"/>
          <w:b/>
          <w:u w:val="single"/>
        </w:rPr>
        <w:t>Deregulation</w:t>
      </w:r>
      <w:r w:rsidR="00A54603">
        <w:rPr>
          <w:rFonts w:eastAsiaTheme="minorHAnsi"/>
          <w:b/>
          <w:u w:val="single"/>
        </w:rPr>
        <w:t xml:space="preserve"> of Rule Barring Medicare Coverage of Low Vision Devices </w:t>
      </w:r>
      <w:r w:rsidRPr="00DB51C0">
        <w:rPr>
          <w:rFonts w:eastAsiaTheme="minorHAnsi"/>
          <w:b/>
          <w:u w:val="single"/>
        </w:rPr>
        <w:t xml:space="preserve"> </w:t>
      </w:r>
    </w:p>
    <w:p w14:paraId="3F1673A4" w14:textId="77777777" w:rsidR="00DB51C0" w:rsidRPr="00DB51C0" w:rsidRDefault="00DB51C0" w:rsidP="00DB51C0">
      <w:pPr>
        <w:ind w:left="720" w:hanging="720"/>
        <w:rPr>
          <w:rFonts w:eastAsiaTheme="minorHAnsi"/>
        </w:rPr>
      </w:pPr>
    </w:p>
    <w:p w14:paraId="7E6539AE" w14:textId="17D161A3" w:rsidR="0095319B" w:rsidRDefault="0058645A" w:rsidP="000245DB">
      <w:pPr>
        <w:rPr>
          <w:rFonts w:eastAsiaTheme="minorHAnsi"/>
        </w:rPr>
      </w:pPr>
      <w:r w:rsidRPr="0058645A">
        <w:rPr>
          <w:rFonts w:eastAsiaTheme="minorHAnsi"/>
        </w:rPr>
        <w:t>Dear Acting Administrator Carlton:</w:t>
      </w:r>
    </w:p>
    <w:p w14:paraId="24CFF9A9" w14:textId="77777777" w:rsidR="0058645A" w:rsidRDefault="0058645A" w:rsidP="000245DB">
      <w:pPr>
        <w:rPr>
          <w:rFonts w:eastAsiaTheme="minorHAnsi"/>
        </w:rPr>
      </w:pPr>
    </w:p>
    <w:p w14:paraId="5C33047A" w14:textId="5EB2F258" w:rsidR="00D47E29" w:rsidRDefault="00DB51C0" w:rsidP="000245DB">
      <w:pPr>
        <w:rPr>
          <w:rFonts w:eastAsiaTheme="minorHAnsi"/>
        </w:rPr>
      </w:pPr>
      <w:r w:rsidRPr="00DB51C0">
        <w:rPr>
          <w:rFonts w:eastAsiaTheme="minorHAnsi"/>
        </w:rPr>
        <w:t>On behalf of the Independence Through Enhancement of Medicare and Medicaid (</w:t>
      </w:r>
      <w:r w:rsidR="00B02E5F">
        <w:rPr>
          <w:rFonts w:eastAsiaTheme="minorHAnsi"/>
        </w:rPr>
        <w:t>“</w:t>
      </w:r>
      <w:r w:rsidRPr="00DB51C0">
        <w:rPr>
          <w:rFonts w:eastAsiaTheme="minorHAnsi"/>
        </w:rPr>
        <w:t>ITEM</w:t>
      </w:r>
      <w:r w:rsidR="00B02E5F">
        <w:rPr>
          <w:rFonts w:eastAsiaTheme="minorHAnsi"/>
        </w:rPr>
        <w:t>”</w:t>
      </w:r>
      <w:r w:rsidRPr="00DB51C0">
        <w:rPr>
          <w:rFonts w:eastAsiaTheme="minorHAnsi"/>
        </w:rPr>
        <w:t xml:space="preserve">) Coalition’s Low Vision </w:t>
      </w:r>
      <w:r w:rsidR="003E780D">
        <w:rPr>
          <w:rFonts w:eastAsiaTheme="minorHAnsi"/>
        </w:rPr>
        <w:t>Subg</w:t>
      </w:r>
      <w:r w:rsidRPr="00DB51C0">
        <w:rPr>
          <w:rFonts w:eastAsiaTheme="minorHAnsi"/>
        </w:rPr>
        <w:t xml:space="preserve">roup, </w:t>
      </w:r>
      <w:r>
        <w:rPr>
          <w:rFonts w:eastAsiaTheme="minorHAnsi"/>
        </w:rPr>
        <w:t>we write to urge the Centers for Medicare and Medicaid Services (“CMS”)</w:t>
      </w:r>
      <w:r w:rsidRPr="00DB51C0">
        <w:t xml:space="preserve"> </w:t>
      </w:r>
      <w:r>
        <w:t xml:space="preserve">to </w:t>
      </w:r>
      <w:r w:rsidRPr="00DB51C0">
        <w:rPr>
          <w:rFonts w:eastAsiaTheme="minorHAnsi"/>
        </w:rPr>
        <w:t xml:space="preserve">rescind </w:t>
      </w:r>
      <w:r w:rsidR="00B02E5F">
        <w:rPr>
          <w:rFonts w:eastAsiaTheme="minorHAnsi"/>
        </w:rPr>
        <w:t xml:space="preserve">the </w:t>
      </w:r>
      <w:r w:rsidRPr="00DB51C0">
        <w:rPr>
          <w:rFonts w:eastAsiaTheme="minorHAnsi"/>
        </w:rPr>
        <w:t>Medicare “Low Vision Aid Exclusion</w:t>
      </w:r>
      <w:r>
        <w:rPr>
          <w:rFonts w:eastAsiaTheme="minorHAnsi"/>
        </w:rPr>
        <w:t>” as part of the</w:t>
      </w:r>
      <w:r w:rsidR="00795BC4">
        <w:rPr>
          <w:rFonts w:eastAsiaTheme="minorHAnsi"/>
        </w:rPr>
        <w:t xml:space="preserve"> agency’s</w:t>
      </w:r>
      <w:r>
        <w:rPr>
          <w:rFonts w:eastAsiaTheme="minorHAnsi"/>
        </w:rPr>
        <w:t xml:space="preserve"> </w:t>
      </w:r>
      <w:r w:rsidRPr="00DB51C0">
        <w:rPr>
          <w:rFonts w:eastAsiaTheme="minorHAnsi"/>
        </w:rPr>
        <w:t xml:space="preserve">implementation of </w:t>
      </w:r>
      <w:r w:rsidR="003E780D">
        <w:rPr>
          <w:rFonts w:eastAsiaTheme="minorHAnsi"/>
        </w:rPr>
        <w:t>two recent Executive Orders.</w:t>
      </w:r>
      <w:r w:rsidRPr="00DB51C0">
        <w:rPr>
          <w:rFonts w:eastAsiaTheme="minorHAnsi"/>
          <w:vertAlign w:val="superscript"/>
        </w:rPr>
        <w:footnoteReference w:id="1"/>
      </w:r>
      <w:r w:rsidR="00B02E5F">
        <w:rPr>
          <w:rFonts w:eastAsiaTheme="minorHAnsi"/>
        </w:rPr>
        <w:t xml:space="preserve">  </w:t>
      </w:r>
      <w:r w:rsidR="00D47E29">
        <w:rPr>
          <w:rFonts w:eastAsiaTheme="minorHAnsi"/>
        </w:rPr>
        <w:t xml:space="preserve">Under the </w:t>
      </w:r>
      <w:r w:rsidR="00D47E29" w:rsidRPr="00B02E5F">
        <w:rPr>
          <w:rFonts w:eastAsiaTheme="minorHAnsi"/>
          <w:i/>
          <w:iCs/>
        </w:rPr>
        <w:t>Executive Order on Unleashing Prosperity Through Deregulation</w:t>
      </w:r>
      <w:r w:rsidR="00D47E29">
        <w:rPr>
          <w:rFonts w:eastAsiaTheme="minorHAnsi"/>
        </w:rPr>
        <w:t xml:space="preserve">, the agency must eliminate 10 prior regulations for each new regulation that is promulgated.  </w:t>
      </w:r>
      <w:r w:rsidR="00D47E29" w:rsidRPr="00795BC4">
        <w:rPr>
          <w:rFonts w:eastAsiaTheme="minorHAnsi"/>
        </w:rPr>
        <w:t>The</w:t>
      </w:r>
      <w:r w:rsidR="00D47E29" w:rsidRPr="00B02E5F">
        <w:rPr>
          <w:rFonts w:eastAsiaTheme="minorHAnsi"/>
          <w:i/>
          <w:iCs/>
        </w:rPr>
        <w:t xml:space="preserve"> Executive Order on Ensuring Lawful Governance and Implementing the President’s “Department Of Government Efficiency” Deregulatory Initiative</w:t>
      </w:r>
      <w:r w:rsidR="00D47E29">
        <w:rPr>
          <w:rFonts w:eastAsiaTheme="minorHAnsi"/>
        </w:rPr>
        <w:t xml:space="preserve"> similarly directs e</w:t>
      </w:r>
      <w:r w:rsidR="00D47E29" w:rsidRPr="00DB51C0">
        <w:rPr>
          <w:rFonts w:eastAsiaTheme="minorHAnsi"/>
        </w:rPr>
        <w:t xml:space="preserve">ach agency </w:t>
      </w:r>
      <w:r w:rsidR="00D47E29">
        <w:rPr>
          <w:rFonts w:eastAsiaTheme="minorHAnsi"/>
        </w:rPr>
        <w:t>to</w:t>
      </w:r>
      <w:r w:rsidR="00D47E29" w:rsidRPr="00DB51C0">
        <w:rPr>
          <w:rFonts w:eastAsiaTheme="minorHAnsi"/>
        </w:rPr>
        <w:t xml:space="preserve"> </w:t>
      </w:r>
      <w:r w:rsidR="00D47E29">
        <w:rPr>
          <w:rFonts w:eastAsiaTheme="minorHAnsi"/>
        </w:rPr>
        <w:t>identify u</w:t>
      </w:r>
      <w:r w:rsidR="00D47E29" w:rsidRPr="00DB51C0">
        <w:rPr>
          <w:rFonts w:eastAsiaTheme="minorHAnsi"/>
        </w:rPr>
        <w:t>nlawful regulations and regulations that undermine the national interest.</w:t>
      </w:r>
      <w:r w:rsidR="00D47E29">
        <w:rPr>
          <w:rFonts w:eastAsiaTheme="minorHAnsi"/>
        </w:rPr>
        <w:t xml:space="preserve">  </w:t>
      </w:r>
    </w:p>
    <w:p w14:paraId="20000298" w14:textId="77777777" w:rsidR="00D47E29" w:rsidRDefault="00D47E29" w:rsidP="000245DB">
      <w:pPr>
        <w:rPr>
          <w:rFonts w:eastAsiaTheme="minorHAnsi"/>
        </w:rPr>
      </w:pPr>
    </w:p>
    <w:p w14:paraId="50AA26C0" w14:textId="13205ED7" w:rsidR="00795BC4" w:rsidRDefault="00B02E5F" w:rsidP="000245DB">
      <w:pPr>
        <w:rPr>
          <w:rFonts w:eastAsiaTheme="minorHAnsi"/>
        </w:rPr>
      </w:pPr>
      <w:r w:rsidRPr="00B02E5F">
        <w:rPr>
          <w:rFonts w:eastAsiaTheme="minorHAnsi"/>
        </w:rPr>
        <w:t xml:space="preserve">The ITEM Coalition is a national consumer- and clinician-led coalition advocating for access to and coverage of assistive devices, technologies, and related services for persons with injuries, illnesses, disabilities, and chronic conditions of all ages. </w:t>
      </w:r>
      <w:r w:rsidR="00D47E29">
        <w:rPr>
          <w:rFonts w:eastAsiaTheme="minorHAnsi"/>
        </w:rPr>
        <w:t xml:space="preserve"> </w:t>
      </w:r>
      <w:r w:rsidRPr="00B02E5F">
        <w:rPr>
          <w:rFonts w:eastAsiaTheme="minorHAnsi"/>
        </w:rPr>
        <w:t xml:space="preserve">The ITEM Coalition’s Low Vision </w:t>
      </w:r>
      <w:r w:rsidR="003E780D">
        <w:rPr>
          <w:rFonts w:eastAsiaTheme="minorHAnsi"/>
        </w:rPr>
        <w:t>Subg</w:t>
      </w:r>
      <w:r w:rsidRPr="00B02E5F">
        <w:rPr>
          <w:rFonts w:eastAsiaTheme="minorHAnsi"/>
        </w:rPr>
        <w:t xml:space="preserve">roup is comprised of ITEM Coalition members and additional </w:t>
      </w:r>
      <w:r w:rsidR="00A54603">
        <w:rPr>
          <w:rFonts w:eastAsiaTheme="minorHAnsi"/>
        </w:rPr>
        <w:t>stakeholders</w:t>
      </w:r>
      <w:r w:rsidRPr="00B02E5F">
        <w:rPr>
          <w:rFonts w:eastAsiaTheme="minorHAnsi"/>
        </w:rPr>
        <w:t xml:space="preserve"> representing individuals with blindness and low vision, ophthalmologists, optometrists, </w:t>
      </w:r>
      <w:r w:rsidR="00D41AEF">
        <w:rPr>
          <w:rFonts w:eastAsiaTheme="minorHAnsi"/>
        </w:rPr>
        <w:t xml:space="preserve">therapists, </w:t>
      </w:r>
      <w:r w:rsidRPr="00B02E5F">
        <w:rPr>
          <w:rFonts w:eastAsiaTheme="minorHAnsi"/>
        </w:rPr>
        <w:t>low vision device manufacturers, and others dedicated to addressing the lack of coverage of low vision devices in Medicare.</w:t>
      </w:r>
      <w:r w:rsidR="004F33D2">
        <w:rPr>
          <w:rFonts w:eastAsiaTheme="minorHAnsi"/>
        </w:rPr>
        <w:t xml:space="preserve">  </w:t>
      </w:r>
    </w:p>
    <w:p w14:paraId="75CF7C86" w14:textId="77777777" w:rsidR="00795BC4" w:rsidRDefault="00795BC4" w:rsidP="000245DB">
      <w:pPr>
        <w:rPr>
          <w:rFonts w:eastAsiaTheme="minorHAnsi"/>
        </w:rPr>
      </w:pPr>
    </w:p>
    <w:p w14:paraId="6722FDB3" w14:textId="23CB4257" w:rsidR="004F33D2" w:rsidRDefault="004F33D2" w:rsidP="000245DB">
      <w:pPr>
        <w:rPr>
          <w:rFonts w:eastAsiaTheme="minorHAnsi"/>
        </w:rPr>
      </w:pPr>
      <w:r w:rsidRPr="00D47E29">
        <w:rPr>
          <w:rFonts w:eastAsiaTheme="minorHAnsi"/>
        </w:rPr>
        <w:t xml:space="preserve">Access to low vision aids and devices is crucial for many beneficiaries who have a visual impairment to achieve better health outcomes, live </w:t>
      </w:r>
      <w:r w:rsidR="00D41AEF">
        <w:rPr>
          <w:rFonts w:eastAsiaTheme="minorHAnsi"/>
        </w:rPr>
        <w:t xml:space="preserve">more </w:t>
      </w:r>
      <w:r w:rsidRPr="00D47E29">
        <w:rPr>
          <w:rFonts w:eastAsiaTheme="minorHAnsi"/>
        </w:rPr>
        <w:t xml:space="preserve">independently, work, care for their loved ones, engage in </w:t>
      </w:r>
      <w:r w:rsidR="00A54603">
        <w:rPr>
          <w:rFonts w:eastAsiaTheme="minorHAnsi"/>
        </w:rPr>
        <w:t>community activities</w:t>
      </w:r>
      <w:r w:rsidRPr="00D47E29">
        <w:rPr>
          <w:rFonts w:eastAsiaTheme="minorHAnsi"/>
        </w:rPr>
        <w:t xml:space="preserve">, and perform everyday </w:t>
      </w:r>
      <w:r w:rsidR="00A54603">
        <w:rPr>
          <w:rFonts w:eastAsiaTheme="minorHAnsi"/>
        </w:rPr>
        <w:t>tasks</w:t>
      </w:r>
      <w:r w:rsidRPr="00D47E29">
        <w:rPr>
          <w:rFonts w:eastAsiaTheme="minorHAnsi"/>
        </w:rPr>
        <w:t>.</w:t>
      </w:r>
      <w:r w:rsidRPr="00D47E29">
        <w:t xml:space="preserve"> </w:t>
      </w:r>
      <w:r>
        <w:t xml:space="preserve"> </w:t>
      </w:r>
      <w:r w:rsidRPr="00D47E29">
        <w:rPr>
          <w:rFonts w:eastAsiaTheme="minorHAnsi"/>
        </w:rPr>
        <w:t xml:space="preserve">Low vision aids and devices include a broad range of assistive technology other than traditional eyeglasses and contact lenses and are prescribed and customized to meet the specific needs of individuals with visual impairments resulting from a range of </w:t>
      </w:r>
      <w:r w:rsidR="00332BD2" w:rsidRPr="00D47E29">
        <w:rPr>
          <w:rFonts w:eastAsiaTheme="minorHAnsi"/>
        </w:rPr>
        <w:t xml:space="preserve">conditions </w:t>
      </w:r>
      <w:r w:rsidR="00332BD2">
        <w:rPr>
          <w:rFonts w:eastAsiaTheme="minorHAnsi"/>
        </w:rPr>
        <w:t>involving the eyes.</w:t>
      </w:r>
      <w:r w:rsidRPr="00D47E29">
        <w:rPr>
          <w:rFonts w:eastAsiaTheme="minorHAnsi"/>
        </w:rPr>
        <w:t xml:space="preserve"> </w:t>
      </w:r>
      <w:r w:rsidR="00795BC4">
        <w:rPr>
          <w:rFonts w:eastAsiaTheme="minorHAnsi"/>
        </w:rPr>
        <w:t xml:space="preserve"> </w:t>
      </w:r>
      <w:r w:rsidRPr="00D47E29">
        <w:rPr>
          <w:rFonts w:eastAsiaTheme="minorHAnsi"/>
        </w:rPr>
        <w:t xml:space="preserve">Low vision aids can include, but are not limited to </w:t>
      </w:r>
      <w:r w:rsidR="00D41AEF">
        <w:rPr>
          <w:rFonts w:eastAsiaTheme="minorHAnsi"/>
        </w:rPr>
        <w:t>digital</w:t>
      </w:r>
      <w:r w:rsidR="006E69A4">
        <w:rPr>
          <w:rFonts w:eastAsiaTheme="minorHAnsi"/>
        </w:rPr>
        <w:t xml:space="preserve"> magnification devices,</w:t>
      </w:r>
      <w:r w:rsidRPr="00D47E29">
        <w:rPr>
          <w:rFonts w:eastAsiaTheme="minorHAnsi"/>
        </w:rPr>
        <w:t xml:space="preserve"> </w:t>
      </w:r>
      <w:r w:rsidR="006E69A4">
        <w:rPr>
          <w:rFonts w:eastAsiaTheme="minorHAnsi"/>
        </w:rPr>
        <w:t>optical</w:t>
      </w:r>
      <w:r w:rsidRPr="00D47E29">
        <w:rPr>
          <w:rFonts w:eastAsiaTheme="minorHAnsi"/>
        </w:rPr>
        <w:t xml:space="preserve"> magnifiers, </w:t>
      </w:r>
      <w:proofErr w:type="spellStart"/>
      <w:r w:rsidRPr="00D47E29">
        <w:rPr>
          <w:rFonts w:eastAsiaTheme="minorHAnsi"/>
        </w:rPr>
        <w:t>minifiers</w:t>
      </w:r>
      <w:proofErr w:type="spellEnd"/>
      <w:r w:rsidRPr="00D47E29">
        <w:rPr>
          <w:rFonts w:eastAsiaTheme="minorHAnsi"/>
        </w:rPr>
        <w:t xml:space="preserve">, prisms, </w:t>
      </w:r>
      <w:r w:rsidRPr="00D47E29">
        <w:rPr>
          <w:rFonts w:eastAsiaTheme="minorHAnsi"/>
        </w:rPr>
        <w:lastRenderedPageBreak/>
        <w:t xml:space="preserve">head-borne </w:t>
      </w:r>
      <w:r w:rsidR="00D41AEF">
        <w:rPr>
          <w:rFonts w:eastAsiaTheme="minorHAnsi"/>
        </w:rPr>
        <w:t xml:space="preserve">optical and digital </w:t>
      </w:r>
      <w:r w:rsidRPr="00D47E29">
        <w:rPr>
          <w:rFonts w:eastAsiaTheme="minorHAnsi"/>
        </w:rPr>
        <w:t>devices, and other items, including emerging technologies that may alter the image size, contrast, brightness, color, or directionality of an object to enhance its visibility to the user.</w:t>
      </w:r>
    </w:p>
    <w:p w14:paraId="729F5709" w14:textId="77777777" w:rsidR="004F33D2" w:rsidRDefault="004F33D2" w:rsidP="000245DB">
      <w:pPr>
        <w:rPr>
          <w:rFonts w:eastAsiaTheme="minorHAnsi"/>
        </w:rPr>
      </w:pPr>
    </w:p>
    <w:p w14:paraId="746DE4DB" w14:textId="32C798C0" w:rsidR="004F33D2" w:rsidRDefault="004F33D2" w:rsidP="000245DB">
      <w:pPr>
        <w:rPr>
          <w:rFonts w:eastAsiaTheme="minorHAnsi"/>
        </w:rPr>
      </w:pPr>
      <w:r w:rsidRPr="00D47E29">
        <w:rPr>
          <w:rFonts w:eastAsiaTheme="minorHAnsi"/>
        </w:rPr>
        <w:t xml:space="preserve">Low vision devices are often essential for individuals with low vision, allowing users to live </w:t>
      </w:r>
      <w:r w:rsidR="00D41AEF">
        <w:rPr>
          <w:rFonts w:eastAsiaTheme="minorHAnsi"/>
        </w:rPr>
        <w:t xml:space="preserve">more </w:t>
      </w:r>
      <w:r w:rsidRPr="00D47E29">
        <w:rPr>
          <w:rFonts w:eastAsiaTheme="minorHAnsi"/>
        </w:rPr>
        <w:t xml:space="preserve">independently, productively, and safely while performing essential tasks and activities of daily living. </w:t>
      </w:r>
      <w:r w:rsidR="00795BC4">
        <w:rPr>
          <w:rFonts w:eastAsiaTheme="minorHAnsi"/>
        </w:rPr>
        <w:t xml:space="preserve"> </w:t>
      </w:r>
      <w:r w:rsidRPr="00D47E29">
        <w:rPr>
          <w:rFonts w:eastAsiaTheme="minorHAnsi"/>
        </w:rPr>
        <w:t xml:space="preserve">The combination of prescribed low vision devices with visual rehabilitation and device training increases users’ ability to manage medications, read financial and other personal documents, participate in education or employment, and integrate into the community independently. </w:t>
      </w:r>
      <w:r w:rsidR="00795BC4">
        <w:rPr>
          <w:rFonts w:eastAsiaTheme="minorHAnsi"/>
        </w:rPr>
        <w:t xml:space="preserve"> </w:t>
      </w:r>
      <w:r w:rsidRPr="00D47E29">
        <w:rPr>
          <w:rFonts w:eastAsiaTheme="minorHAnsi"/>
        </w:rPr>
        <w:t>These benefits have been shown to improve patients’ health-related quality of life, self-esteem, and mental health, while reducing the incidence of falls, injuries, and physical impairment</w:t>
      </w:r>
      <w:r w:rsidR="00D41AEF">
        <w:rPr>
          <w:rFonts w:eastAsiaTheme="minorHAnsi"/>
        </w:rPr>
        <w:t>, and lessening the risk of cognitive decline and dementia that can be</w:t>
      </w:r>
      <w:r w:rsidRPr="00D47E29">
        <w:rPr>
          <w:rFonts w:eastAsiaTheme="minorHAnsi"/>
        </w:rPr>
        <w:t xml:space="preserve"> associated with untreated low vision.  </w:t>
      </w:r>
    </w:p>
    <w:p w14:paraId="34683BD2" w14:textId="77777777" w:rsidR="00B02E5F" w:rsidRDefault="00B02E5F" w:rsidP="000245DB">
      <w:pPr>
        <w:rPr>
          <w:rFonts w:eastAsiaTheme="minorHAnsi"/>
        </w:rPr>
      </w:pPr>
    </w:p>
    <w:p w14:paraId="43736C83" w14:textId="24CE23F0" w:rsidR="004503F9" w:rsidRDefault="004F33D2" w:rsidP="000245DB">
      <w:pPr>
        <w:rPr>
          <w:rFonts w:eastAsiaTheme="minorHAnsi"/>
        </w:rPr>
      </w:pPr>
      <w:r>
        <w:rPr>
          <w:rFonts w:eastAsiaTheme="minorHAnsi"/>
        </w:rPr>
        <w:t>T</w:t>
      </w:r>
      <w:r w:rsidRPr="004F33D2">
        <w:rPr>
          <w:rFonts w:eastAsiaTheme="minorHAnsi"/>
        </w:rPr>
        <w:t xml:space="preserve">he Medicare statute prohibits payment for eyeglasses, eye examinations for the purpose of prescribing, fitting, or changing eyeglasses, and procedures performed </w:t>
      </w:r>
      <w:proofErr w:type="gramStart"/>
      <w:r w:rsidRPr="004F33D2">
        <w:rPr>
          <w:rFonts w:eastAsiaTheme="minorHAnsi"/>
        </w:rPr>
        <w:t>during the course of</w:t>
      </w:r>
      <w:proofErr w:type="gramEnd"/>
      <w:r w:rsidRPr="004F33D2">
        <w:rPr>
          <w:rFonts w:eastAsiaTheme="minorHAnsi"/>
        </w:rPr>
        <w:t xml:space="preserve"> such examination to determine the refractive state of the eyes</w:t>
      </w:r>
      <w:r>
        <w:rPr>
          <w:rFonts w:eastAsiaTheme="minorHAnsi"/>
        </w:rPr>
        <w:t xml:space="preserve">; however, </w:t>
      </w:r>
      <w:r w:rsidRPr="004F33D2">
        <w:rPr>
          <w:rFonts w:eastAsiaTheme="minorHAnsi"/>
        </w:rPr>
        <w:t>the statutory text does not address other vision-related items and services.</w:t>
      </w:r>
      <w:r>
        <w:rPr>
          <w:rFonts w:eastAsiaTheme="minorHAnsi"/>
        </w:rPr>
        <w:t xml:space="preserve">  In 2008, CMS finalized its </w:t>
      </w:r>
      <w:r w:rsidRPr="004F33D2">
        <w:rPr>
          <w:rFonts w:eastAsiaTheme="minorHAnsi"/>
        </w:rPr>
        <w:t>regulation at 42 C.F.R. § 411.15(b), commonly referred to as to the “Low Vision Aid Exclusion,”</w:t>
      </w:r>
      <w:r>
        <w:rPr>
          <w:rFonts w:eastAsiaTheme="minorHAnsi"/>
        </w:rPr>
        <w:t xml:space="preserve"> excluding </w:t>
      </w:r>
      <w:r w:rsidR="00332BD2">
        <w:rPr>
          <w:rFonts w:eastAsiaTheme="minorHAnsi"/>
        </w:rPr>
        <w:t xml:space="preserve">from Medicare coverage </w:t>
      </w:r>
      <w:r>
        <w:rPr>
          <w:rFonts w:eastAsiaTheme="minorHAnsi"/>
        </w:rPr>
        <w:t>“</w:t>
      </w:r>
      <w:r w:rsidRPr="00F47763">
        <w:rPr>
          <w:rFonts w:eastAsiaTheme="minorHAnsi"/>
        </w:rPr>
        <w:t>all devices irrespective of their size, form, or technological features that use one or more lens to aid vision or provide magnification of images for impaired vision</w:t>
      </w:r>
      <w:r>
        <w:rPr>
          <w:rFonts w:eastAsiaTheme="minorHAnsi"/>
        </w:rPr>
        <w:t>,” subject to certain exceptions.</w:t>
      </w:r>
      <w:r>
        <w:rPr>
          <w:rStyle w:val="FootnoteReference"/>
          <w:rFonts w:eastAsiaTheme="minorHAnsi"/>
        </w:rPr>
        <w:footnoteReference w:id="2"/>
      </w:r>
      <w:r>
        <w:rPr>
          <w:rFonts w:eastAsiaTheme="minorHAnsi"/>
        </w:rPr>
        <w:t xml:space="preserve">  </w:t>
      </w:r>
    </w:p>
    <w:p w14:paraId="35739B5C" w14:textId="77777777" w:rsidR="004503F9" w:rsidRDefault="004503F9" w:rsidP="000245DB">
      <w:pPr>
        <w:rPr>
          <w:rFonts w:eastAsiaTheme="minorHAnsi"/>
        </w:rPr>
      </w:pPr>
    </w:p>
    <w:p w14:paraId="63353B9F" w14:textId="1466601D" w:rsidR="004503F9" w:rsidRDefault="00332BD2" w:rsidP="000245DB">
      <w:pPr>
        <w:rPr>
          <w:rFonts w:eastAsiaTheme="minorHAnsi"/>
        </w:rPr>
      </w:pPr>
      <w:r>
        <w:rPr>
          <w:rFonts w:eastAsiaTheme="minorHAnsi"/>
        </w:rPr>
        <w:t xml:space="preserve">CMS issued this regulation with little or no rationale or seeming need to do so.  </w:t>
      </w:r>
      <w:r w:rsidR="004503F9">
        <w:rPr>
          <w:rFonts w:eastAsiaTheme="minorHAnsi"/>
        </w:rPr>
        <w:t>Prior to issuance of the proposed rule, some Administrative Law Judges had, in fact, begun to interpret the statute to allow coverage of certain low vision devices through beneficiary appeals, but there was certainly no risk of flooding the program with low vision device claims.  In its comments to the proposed rule, t</w:t>
      </w:r>
      <w:r>
        <w:rPr>
          <w:rFonts w:eastAsiaTheme="minorHAnsi"/>
        </w:rPr>
        <w:t>he ITEM Coalition and many of its member</w:t>
      </w:r>
      <w:r w:rsidR="004503F9">
        <w:rPr>
          <w:rFonts w:eastAsiaTheme="minorHAnsi"/>
        </w:rPr>
        <w:t xml:space="preserve"> organizations</w:t>
      </w:r>
      <w:r>
        <w:rPr>
          <w:rFonts w:eastAsiaTheme="minorHAnsi"/>
        </w:rPr>
        <w:t xml:space="preserve"> objected strenuously to the broad overreach of this </w:t>
      </w:r>
      <w:r w:rsidR="004503F9">
        <w:rPr>
          <w:rFonts w:eastAsiaTheme="minorHAnsi"/>
        </w:rPr>
        <w:t>proposed rule</w:t>
      </w:r>
      <w:r w:rsidR="00DF2F23">
        <w:rPr>
          <w:rFonts w:eastAsiaTheme="minorHAnsi"/>
        </w:rPr>
        <w:t>,</w:t>
      </w:r>
      <w:r>
        <w:rPr>
          <w:rFonts w:eastAsiaTheme="minorHAnsi"/>
        </w:rPr>
        <w:t xml:space="preserve"> which bars coverage for any device that improves </w:t>
      </w:r>
      <w:r w:rsidR="004503F9">
        <w:rPr>
          <w:rFonts w:eastAsiaTheme="minorHAnsi"/>
        </w:rPr>
        <w:t xml:space="preserve">low </w:t>
      </w:r>
      <w:r>
        <w:rPr>
          <w:rFonts w:eastAsiaTheme="minorHAnsi"/>
        </w:rPr>
        <w:t xml:space="preserve">vision for beneficiaries based on the eyeglasses coverage exclusion to the Medicare program.  In so doing, CMS broadly interpreted the statute to deny access to medically necessary low vision devices and technologies to an entire diagnostic category of Medicare beneficiaries, despite widespread existence of this medical condition </w:t>
      </w:r>
      <w:r w:rsidR="004503F9">
        <w:rPr>
          <w:rFonts w:eastAsiaTheme="minorHAnsi"/>
        </w:rPr>
        <w:t>among the Medicare population.  This plenary bar in coverage continues to this day with devastating consequences.</w:t>
      </w:r>
    </w:p>
    <w:p w14:paraId="3D7965AA" w14:textId="77777777" w:rsidR="004503F9" w:rsidRDefault="004503F9" w:rsidP="000245DB">
      <w:pPr>
        <w:rPr>
          <w:rFonts w:eastAsiaTheme="minorHAnsi"/>
        </w:rPr>
      </w:pPr>
    </w:p>
    <w:p w14:paraId="05DF3060" w14:textId="1204409A" w:rsidR="000245DB" w:rsidRDefault="000245DB" w:rsidP="000245DB">
      <w:pPr>
        <w:rPr>
          <w:rFonts w:eastAsiaTheme="minorHAnsi"/>
        </w:rPr>
      </w:pPr>
      <w:r>
        <w:rPr>
          <w:rFonts w:eastAsiaTheme="minorHAnsi"/>
        </w:rPr>
        <w:t xml:space="preserve">Lack of proper supports for individuals with low vision leads to poorer health outcomes and increased strain on the health care </w:t>
      </w:r>
      <w:proofErr w:type="gramStart"/>
      <w:r>
        <w:rPr>
          <w:rFonts w:eastAsiaTheme="minorHAnsi"/>
        </w:rPr>
        <w:t>system as a whole</w:t>
      </w:r>
      <w:proofErr w:type="gramEnd"/>
      <w:r>
        <w:rPr>
          <w:rFonts w:eastAsiaTheme="minorHAnsi"/>
        </w:rPr>
        <w:t>.  Those with low vision experience a greater prevalence of chronic conditions, comorbidities, cognitive decline, preventative falls, and inability to complete activities of daily living than the general population.</w:t>
      </w:r>
      <w:r>
        <w:rPr>
          <w:rStyle w:val="FootnoteReference"/>
          <w:rFonts w:eastAsiaTheme="minorHAnsi"/>
        </w:rPr>
        <w:footnoteReference w:id="3"/>
      </w:r>
      <w:r>
        <w:rPr>
          <w:rFonts w:eastAsiaTheme="minorHAnsi"/>
        </w:rPr>
        <w:t xml:space="preserve">  They are also more </w:t>
      </w:r>
      <w:r>
        <w:rPr>
          <w:rFonts w:eastAsiaTheme="minorHAnsi"/>
        </w:rPr>
        <w:lastRenderedPageBreak/>
        <w:t>likely to self-report their health as poor, and experience higher levels of isolation due to their condition.</w:t>
      </w:r>
      <w:r>
        <w:rPr>
          <w:rStyle w:val="FootnoteReference"/>
          <w:rFonts w:eastAsiaTheme="minorHAnsi"/>
        </w:rPr>
        <w:footnoteReference w:id="4"/>
      </w:r>
      <w:r>
        <w:rPr>
          <w:rFonts w:eastAsiaTheme="minorHAnsi"/>
        </w:rPr>
        <w:t xml:space="preserve">  </w:t>
      </w:r>
      <w:r w:rsidR="009924FF">
        <w:rPr>
          <w:rFonts w:eastAsiaTheme="minorHAnsi"/>
        </w:rPr>
        <w:t>This</w:t>
      </w:r>
      <w:r>
        <w:rPr>
          <w:rFonts w:eastAsiaTheme="minorHAnsi"/>
        </w:rPr>
        <w:t xml:space="preserve"> has led to an increased dependency on skilled nursing care provided in nursing facilities in the blind and low vision population, and an annual loss of productivity of over $8 billion.</w:t>
      </w:r>
      <w:r>
        <w:rPr>
          <w:rStyle w:val="FootnoteReference"/>
          <w:rFonts w:eastAsiaTheme="minorHAnsi"/>
        </w:rPr>
        <w:footnoteReference w:id="5"/>
      </w:r>
    </w:p>
    <w:p w14:paraId="17DE8EF2" w14:textId="77777777" w:rsidR="004503F9" w:rsidRDefault="004503F9" w:rsidP="000245DB">
      <w:pPr>
        <w:rPr>
          <w:rFonts w:eastAsiaTheme="minorHAnsi"/>
        </w:rPr>
      </w:pPr>
    </w:p>
    <w:p w14:paraId="1A1FC0F1" w14:textId="566BF604" w:rsidR="004F33D2" w:rsidRDefault="004503F9" w:rsidP="000245DB">
      <w:pPr>
        <w:rPr>
          <w:rFonts w:eastAsiaTheme="minorHAnsi"/>
        </w:rPr>
      </w:pPr>
      <w:r>
        <w:rPr>
          <w:rFonts w:eastAsiaTheme="minorHAnsi"/>
        </w:rPr>
        <w:t xml:space="preserve">The ITEM Coalition believes that the Executive Orders cited in this letter gives CMS a new opportunity to revisit the breadth and lack of evidence for the position that the eyeglasses exclusion preempts Medicare coverage of all devices and technologies that use a lens to improve vision.  </w:t>
      </w:r>
      <w:r w:rsidR="004F33D2">
        <w:rPr>
          <w:rFonts w:eastAsiaTheme="minorHAnsi"/>
        </w:rPr>
        <w:t xml:space="preserve">We believe that CMS </w:t>
      </w:r>
      <w:r w:rsidR="004F33D2" w:rsidRPr="004F33D2">
        <w:rPr>
          <w:rFonts w:eastAsiaTheme="minorHAnsi"/>
        </w:rPr>
        <w:t>misinterpret</w:t>
      </w:r>
      <w:r w:rsidR="004F33D2">
        <w:rPr>
          <w:rFonts w:eastAsiaTheme="minorHAnsi"/>
        </w:rPr>
        <w:t xml:space="preserve">ed </w:t>
      </w:r>
      <w:proofErr w:type="gramStart"/>
      <w:r w:rsidR="004F33D2" w:rsidRPr="004F33D2">
        <w:rPr>
          <w:rFonts w:eastAsiaTheme="minorHAnsi"/>
        </w:rPr>
        <w:t>the statutory</w:t>
      </w:r>
      <w:proofErr w:type="gramEnd"/>
      <w:r w:rsidR="004F33D2" w:rsidRPr="004F33D2">
        <w:rPr>
          <w:rFonts w:eastAsiaTheme="minorHAnsi"/>
        </w:rPr>
        <w:t xml:space="preserve"> eyeglasses exclusion</w:t>
      </w:r>
      <w:r w:rsidR="004F33D2">
        <w:rPr>
          <w:rFonts w:eastAsiaTheme="minorHAnsi"/>
        </w:rPr>
        <w:t xml:space="preserve"> and engaged in </w:t>
      </w:r>
      <w:r w:rsidR="004F33D2" w:rsidRPr="004F33D2">
        <w:rPr>
          <w:rFonts w:eastAsiaTheme="minorHAnsi"/>
        </w:rPr>
        <w:t>broad regulatory overreach</w:t>
      </w:r>
      <w:r w:rsidR="004F33D2">
        <w:rPr>
          <w:rFonts w:eastAsiaTheme="minorHAnsi"/>
        </w:rPr>
        <w:t xml:space="preserve">.  This resulted in </w:t>
      </w:r>
      <w:r w:rsidR="004F33D2" w:rsidRPr="00D47E29">
        <w:rPr>
          <w:rFonts w:eastAsiaTheme="minorHAnsi"/>
        </w:rPr>
        <w:t xml:space="preserve">a significant barrier for many beneficiaries with low vision or other visual impairments to access </w:t>
      </w:r>
      <w:r w:rsidR="003E780D">
        <w:rPr>
          <w:rFonts w:eastAsiaTheme="minorHAnsi"/>
        </w:rPr>
        <w:t>medically necessary</w:t>
      </w:r>
      <w:r w:rsidR="004F33D2" w:rsidRPr="00D47E29">
        <w:rPr>
          <w:rFonts w:eastAsiaTheme="minorHAnsi"/>
        </w:rPr>
        <w:t xml:space="preserve"> and customized devices to meet their medical and functional needs.</w:t>
      </w:r>
    </w:p>
    <w:p w14:paraId="20644019" w14:textId="77777777" w:rsidR="004F33D2" w:rsidRDefault="004F33D2" w:rsidP="000245DB">
      <w:pPr>
        <w:rPr>
          <w:rFonts w:eastAsiaTheme="minorHAnsi"/>
        </w:rPr>
      </w:pPr>
    </w:p>
    <w:p w14:paraId="169E5FDA" w14:textId="37ECB46F" w:rsidR="004F33D2" w:rsidRPr="004F33D2" w:rsidRDefault="004F33D2" w:rsidP="000245DB">
      <w:pPr>
        <w:rPr>
          <w:rFonts w:eastAsiaTheme="minorHAnsi"/>
          <w:b/>
          <w:bCs/>
        </w:rPr>
      </w:pPr>
      <w:r w:rsidRPr="004F33D2">
        <w:rPr>
          <w:rFonts w:eastAsiaTheme="minorHAnsi"/>
          <w:b/>
          <w:bCs/>
        </w:rPr>
        <w:t xml:space="preserve">Therefore, we believe that the “Low Vision Aid Exclusion” at 42 C.F.R. § 411.15(b) is ripe for elimination under the Executive Orders.  </w:t>
      </w:r>
      <w:r w:rsidRPr="004F33D2">
        <w:rPr>
          <w:rFonts w:eastAsiaTheme="minorHAnsi"/>
        </w:rPr>
        <w:t xml:space="preserve">The ITEM Coalition </w:t>
      </w:r>
      <w:r w:rsidR="003E780D">
        <w:rPr>
          <w:rFonts w:eastAsiaTheme="minorHAnsi"/>
        </w:rPr>
        <w:t xml:space="preserve">formally requests CMS to rescind this regulation and allow Medicare beneficiaries to file claims for low vision devices and technologies, appealing any denials through the administrative appeals process.  Our coalition </w:t>
      </w:r>
      <w:r w:rsidRPr="004F33D2">
        <w:rPr>
          <w:rFonts w:eastAsiaTheme="minorHAnsi"/>
        </w:rPr>
        <w:t xml:space="preserve">is committed to working with </w:t>
      </w:r>
      <w:r w:rsidR="003E780D">
        <w:rPr>
          <w:rFonts w:eastAsiaTheme="minorHAnsi"/>
        </w:rPr>
        <w:t xml:space="preserve">you and </w:t>
      </w:r>
      <w:r w:rsidRPr="004F33D2">
        <w:rPr>
          <w:rFonts w:eastAsiaTheme="minorHAnsi"/>
        </w:rPr>
        <w:t xml:space="preserve">the Administration to </w:t>
      </w:r>
      <w:r>
        <w:rPr>
          <w:rFonts w:eastAsiaTheme="minorHAnsi"/>
        </w:rPr>
        <w:t xml:space="preserve">help ensure that Medicare beneficiaries </w:t>
      </w:r>
      <w:r w:rsidRPr="004F33D2">
        <w:rPr>
          <w:rFonts w:eastAsiaTheme="minorHAnsi"/>
        </w:rPr>
        <w:t>with low vision</w:t>
      </w:r>
      <w:r>
        <w:rPr>
          <w:rFonts w:eastAsiaTheme="minorHAnsi"/>
        </w:rPr>
        <w:t xml:space="preserve"> </w:t>
      </w:r>
      <w:r w:rsidR="003E780D">
        <w:rPr>
          <w:rFonts w:eastAsiaTheme="minorHAnsi"/>
        </w:rPr>
        <w:t xml:space="preserve">finally </w:t>
      </w:r>
      <w:r>
        <w:rPr>
          <w:rFonts w:eastAsiaTheme="minorHAnsi"/>
        </w:rPr>
        <w:t xml:space="preserve">have access to these </w:t>
      </w:r>
      <w:r w:rsidR="003E780D">
        <w:rPr>
          <w:rFonts w:eastAsiaTheme="minorHAnsi"/>
        </w:rPr>
        <w:t xml:space="preserve">important </w:t>
      </w:r>
      <w:r w:rsidRPr="004F33D2">
        <w:rPr>
          <w:rFonts w:eastAsiaTheme="minorHAnsi"/>
        </w:rPr>
        <w:t>devices</w:t>
      </w:r>
      <w:r w:rsidR="003E780D">
        <w:rPr>
          <w:rFonts w:eastAsiaTheme="minorHAnsi"/>
        </w:rPr>
        <w:t xml:space="preserve"> and technologies</w:t>
      </w:r>
      <w:r w:rsidRPr="004F33D2">
        <w:rPr>
          <w:rFonts w:eastAsiaTheme="minorHAnsi"/>
        </w:rPr>
        <w:t>.</w:t>
      </w:r>
    </w:p>
    <w:p w14:paraId="1EB8BEE7" w14:textId="77777777" w:rsidR="004F33D2" w:rsidRDefault="004F33D2" w:rsidP="000245DB">
      <w:pPr>
        <w:rPr>
          <w:rFonts w:eastAsiaTheme="minorHAnsi"/>
        </w:rPr>
      </w:pPr>
    </w:p>
    <w:p w14:paraId="7178A0A5" w14:textId="77777777" w:rsidR="00BB3B21" w:rsidRPr="00BB3B21" w:rsidRDefault="00BB3B21" w:rsidP="000245DB">
      <w:pPr>
        <w:spacing w:after="160"/>
        <w:jc w:val="center"/>
        <w:rPr>
          <w:rFonts w:eastAsia="Calibri"/>
          <w:szCs w:val="22"/>
        </w:rPr>
      </w:pPr>
      <w:r w:rsidRPr="00BB3B21">
        <w:rPr>
          <w:rFonts w:eastAsia="Calibri"/>
          <w:szCs w:val="22"/>
        </w:rPr>
        <w:t>************</w:t>
      </w:r>
    </w:p>
    <w:p w14:paraId="3BB7C40A" w14:textId="70E2CE30" w:rsidR="00BB3B21" w:rsidRPr="00BB3B21" w:rsidRDefault="00BB3B21" w:rsidP="000245DB">
      <w:pPr>
        <w:keepNext/>
        <w:keepLines/>
        <w:spacing w:after="160"/>
        <w:rPr>
          <w:rFonts w:eastAsia="Calibri"/>
          <w:szCs w:val="22"/>
        </w:rPr>
      </w:pPr>
      <w:r w:rsidRPr="00BB3B21">
        <w:rPr>
          <w:rFonts w:eastAsia="Calibri"/>
          <w:szCs w:val="22"/>
        </w:rPr>
        <w:t xml:space="preserve">Should you have any further questions, please contact Peter Thomas and </w:t>
      </w:r>
      <w:r w:rsidR="00DB51C0">
        <w:rPr>
          <w:rFonts w:eastAsia="Calibri"/>
          <w:szCs w:val="22"/>
        </w:rPr>
        <w:t>Leela Baggett</w:t>
      </w:r>
      <w:r w:rsidRPr="00BB3B21">
        <w:rPr>
          <w:rFonts w:eastAsia="Calibri"/>
          <w:szCs w:val="22"/>
        </w:rPr>
        <w:t xml:space="preserve">, coordinators for </w:t>
      </w:r>
      <w:r>
        <w:rPr>
          <w:rFonts w:eastAsia="Calibri"/>
          <w:szCs w:val="22"/>
        </w:rPr>
        <w:t>the ITEM Coalition</w:t>
      </w:r>
      <w:r w:rsidR="004F33D2">
        <w:rPr>
          <w:rFonts w:eastAsia="Calibri"/>
          <w:szCs w:val="22"/>
        </w:rPr>
        <w:t xml:space="preserve"> Low Vision Subgroup</w:t>
      </w:r>
      <w:r w:rsidRPr="00BB3B21">
        <w:rPr>
          <w:rFonts w:eastAsia="Calibri"/>
          <w:szCs w:val="22"/>
        </w:rPr>
        <w:t xml:space="preserve">, by e-mailing </w:t>
      </w:r>
      <w:hyperlink r:id="rId8" w:history="1">
        <w:r w:rsidRPr="00BB3B21">
          <w:rPr>
            <w:rFonts w:eastAsia="Calibri"/>
            <w:color w:val="0563C1"/>
            <w:szCs w:val="22"/>
            <w:u w:val="single"/>
          </w:rPr>
          <w:t>Peter.Thomas@PowersLaw.com</w:t>
        </w:r>
      </w:hyperlink>
      <w:r w:rsidRPr="00BB3B21">
        <w:rPr>
          <w:rFonts w:eastAsia="Calibri"/>
          <w:szCs w:val="22"/>
        </w:rPr>
        <w:t xml:space="preserve"> and </w:t>
      </w:r>
      <w:hyperlink r:id="rId9" w:history="1">
        <w:r w:rsidR="00DB51C0" w:rsidRPr="00223DCA">
          <w:rPr>
            <w:rStyle w:val="Hyperlink"/>
            <w:rFonts w:eastAsia="Calibri"/>
            <w:szCs w:val="22"/>
          </w:rPr>
          <w:t>Leela.Baggett@PowersLaw.com</w:t>
        </w:r>
      </w:hyperlink>
      <w:r w:rsidRPr="00BB3B21">
        <w:rPr>
          <w:rFonts w:eastAsia="Calibri"/>
          <w:szCs w:val="22"/>
        </w:rPr>
        <w:t xml:space="preserve"> or by calling 202-466-6550. </w:t>
      </w:r>
    </w:p>
    <w:p w14:paraId="13E89544" w14:textId="77777777" w:rsidR="00BB3B21" w:rsidRDefault="00BB3B21" w:rsidP="00C51C91">
      <w:pPr>
        <w:keepNext/>
        <w:keepLines/>
        <w:rPr>
          <w:rFonts w:eastAsia="Calibri"/>
          <w:szCs w:val="22"/>
        </w:rPr>
      </w:pPr>
      <w:r w:rsidRPr="00BB3B21">
        <w:rPr>
          <w:rFonts w:eastAsia="Calibri"/>
          <w:szCs w:val="22"/>
        </w:rPr>
        <w:t>Sincerely,</w:t>
      </w:r>
    </w:p>
    <w:p w14:paraId="20BE228A" w14:textId="77777777" w:rsidR="00C51C91" w:rsidRPr="00BB3B21" w:rsidRDefault="00C51C91" w:rsidP="00C51C91">
      <w:pPr>
        <w:keepNext/>
        <w:keepLines/>
        <w:rPr>
          <w:rFonts w:eastAsia="Calibri"/>
          <w:szCs w:val="22"/>
        </w:rPr>
      </w:pPr>
    </w:p>
    <w:p w14:paraId="331BD6FB" w14:textId="56F7A6D7" w:rsidR="00B779CB" w:rsidRPr="00504B64" w:rsidRDefault="00BB3B21" w:rsidP="000245DB">
      <w:pPr>
        <w:rPr>
          <w:rFonts w:eastAsia="Calibri"/>
          <w:b/>
          <w:bCs/>
          <w:szCs w:val="22"/>
          <w:u w:val="single"/>
        </w:rPr>
      </w:pPr>
      <w:r w:rsidRPr="007E170C">
        <w:rPr>
          <w:rFonts w:eastAsia="Calibri"/>
          <w:b/>
          <w:bCs/>
          <w:szCs w:val="22"/>
          <w:u w:val="single"/>
        </w:rPr>
        <w:t>The Undersigned Members of the ITEM Coalition</w:t>
      </w:r>
      <w:r w:rsidR="00DB51C0">
        <w:rPr>
          <w:rFonts w:eastAsia="Calibri"/>
          <w:b/>
          <w:bCs/>
          <w:szCs w:val="22"/>
          <w:u w:val="single"/>
        </w:rPr>
        <w:t>’s Low Vision Subgroup</w:t>
      </w:r>
      <w:r w:rsidRPr="00BB3B21">
        <w:rPr>
          <w:rFonts w:eastAsia="Calibri"/>
          <w:b/>
          <w:bCs/>
          <w:szCs w:val="22"/>
          <w:u w:val="single"/>
        </w:rPr>
        <w:t xml:space="preserve"> </w:t>
      </w:r>
      <w:r w:rsidR="00B779CB">
        <w:rPr>
          <w:rFonts w:eastAsia="Calibri"/>
          <w:b/>
          <w:bCs/>
          <w:szCs w:val="22"/>
          <w:u w:val="single"/>
        </w:rPr>
        <w:br/>
      </w:r>
    </w:p>
    <w:p w14:paraId="7EA4F54D" w14:textId="77777777" w:rsidR="00337295" w:rsidRDefault="00337295" w:rsidP="0095319B">
      <w:pPr>
        <w:rPr>
          <w:rFonts w:eastAsiaTheme="minorHAnsi"/>
        </w:rPr>
      </w:pPr>
      <w:r w:rsidRPr="00337295">
        <w:rPr>
          <w:rFonts w:eastAsiaTheme="minorHAnsi"/>
        </w:rPr>
        <w:t xml:space="preserve">American Academy of Ophthalmology </w:t>
      </w:r>
    </w:p>
    <w:p w14:paraId="467E275C" w14:textId="1D91D4FF" w:rsidR="0095319B" w:rsidRDefault="00CE6BAF" w:rsidP="0095319B">
      <w:pPr>
        <w:rPr>
          <w:rFonts w:eastAsiaTheme="minorHAnsi"/>
        </w:rPr>
      </w:pPr>
      <w:r w:rsidRPr="00CE6BAF">
        <w:rPr>
          <w:rFonts w:eastAsiaTheme="minorHAnsi"/>
        </w:rPr>
        <w:t>American Council of the Blind</w:t>
      </w:r>
    </w:p>
    <w:p w14:paraId="3DA8322D" w14:textId="77777777" w:rsidR="00924BEF" w:rsidRPr="00924BEF" w:rsidRDefault="00924BEF" w:rsidP="00924BEF">
      <w:pPr>
        <w:rPr>
          <w:rFonts w:eastAsiaTheme="minorHAnsi"/>
        </w:rPr>
      </w:pPr>
      <w:r w:rsidRPr="00924BEF">
        <w:rPr>
          <w:rFonts w:eastAsiaTheme="minorHAnsi"/>
        </w:rPr>
        <w:t>American Macular Degeneration Foundation</w:t>
      </w:r>
    </w:p>
    <w:p w14:paraId="5F0FA173" w14:textId="28954094" w:rsidR="00887DFC" w:rsidRDefault="00887DFC" w:rsidP="0095319B">
      <w:pPr>
        <w:rPr>
          <w:rFonts w:eastAsiaTheme="minorHAnsi"/>
        </w:rPr>
      </w:pPr>
      <w:r w:rsidRPr="00887DFC">
        <w:rPr>
          <w:rFonts w:eastAsiaTheme="minorHAnsi"/>
        </w:rPr>
        <w:t>Assistive Technology Industry Association</w:t>
      </w:r>
    </w:p>
    <w:p w14:paraId="675F5C81" w14:textId="2BC92CC9" w:rsidR="009662A9" w:rsidRDefault="009662A9" w:rsidP="0095319B">
      <w:pPr>
        <w:rPr>
          <w:rFonts w:eastAsiaTheme="minorHAnsi"/>
        </w:rPr>
      </w:pPr>
      <w:r w:rsidRPr="009662A9">
        <w:rPr>
          <w:rFonts w:eastAsiaTheme="minorHAnsi"/>
        </w:rPr>
        <w:t xml:space="preserve">International Eye Foundation </w:t>
      </w:r>
    </w:p>
    <w:p w14:paraId="06CF4EB3" w14:textId="77777777" w:rsidR="00753E63" w:rsidRDefault="00753E63" w:rsidP="0095319B">
      <w:pPr>
        <w:rPr>
          <w:rFonts w:eastAsiaTheme="minorHAnsi"/>
        </w:rPr>
      </w:pPr>
      <w:r w:rsidRPr="00753E63">
        <w:rPr>
          <w:rFonts w:eastAsiaTheme="minorHAnsi"/>
        </w:rPr>
        <w:t xml:space="preserve">Lighthouse Guild </w:t>
      </w:r>
    </w:p>
    <w:p w14:paraId="2A6842DA" w14:textId="77777777" w:rsidR="00372FE7" w:rsidRDefault="00372FE7" w:rsidP="0095319B">
      <w:pPr>
        <w:rPr>
          <w:rFonts w:eastAsiaTheme="minorHAnsi"/>
        </w:rPr>
      </w:pPr>
      <w:r w:rsidRPr="00372FE7">
        <w:rPr>
          <w:rFonts w:eastAsiaTheme="minorHAnsi"/>
        </w:rPr>
        <w:t xml:space="preserve">Perkins School for the Blind </w:t>
      </w:r>
    </w:p>
    <w:p w14:paraId="60EF89F2" w14:textId="51399DD1" w:rsidR="00B627B1" w:rsidRDefault="00B627B1" w:rsidP="0095319B">
      <w:pPr>
        <w:rPr>
          <w:rFonts w:eastAsiaTheme="minorHAnsi"/>
        </w:rPr>
      </w:pPr>
      <w:proofErr w:type="gramStart"/>
      <w:r w:rsidRPr="00B627B1">
        <w:rPr>
          <w:rFonts w:eastAsiaTheme="minorHAnsi"/>
        </w:rPr>
        <w:t>Prevent</w:t>
      </w:r>
      <w:proofErr w:type="gramEnd"/>
      <w:r w:rsidRPr="00B627B1">
        <w:rPr>
          <w:rFonts w:eastAsiaTheme="minorHAnsi"/>
        </w:rPr>
        <w:t xml:space="preserve"> Blindness</w:t>
      </w:r>
    </w:p>
    <w:p w14:paraId="2A8CEDEE" w14:textId="77777777" w:rsidR="005C5CB9" w:rsidRDefault="005C5CB9" w:rsidP="0095319B">
      <w:pPr>
        <w:rPr>
          <w:rFonts w:eastAsiaTheme="minorHAnsi"/>
        </w:rPr>
      </w:pPr>
      <w:r w:rsidRPr="005C5CB9">
        <w:rPr>
          <w:rFonts w:eastAsiaTheme="minorHAnsi"/>
        </w:rPr>
        <w:t xml:space="preserve">Prevention of Blindness Society of Metropolitan Washington </w:t>
      </w:r>
    </w:p>
    <w:p w14:paraId="0474B38D" w14:textId="1977F8B5" w:rsidR="00766F21" w:rsidRDefault="00766F21" w:rsidP="0095319B">
      <w:pPr>
        <w:rPr>
          <w:rFonts w:eastAsiaTheme="minorHAnsi"/>
        </w:rPr>
      </w:pPr>
      <w:r w:rsidRPr="00766F21">
        <w:rPr>
          <w:rFonts w:eastAsiaTheme="minorHAnsi"/>
        </w:rPr>
        <w:t xml:space="preserve">Support Sight Foundation </w:t>
      </w:r>
    </w:p>
    <w:p w14:paraId="7F5F6FC4" w14:textId="1D98A813" w:rsidR="004D5173" w:rsidRDefault="004D5173" w:rsidP="0095319B">
      <w:pPr>
        <w:rPr>
          <w:rFonts w:eastAsiaTheme="minorHAnsi"/>
        </w:rPr>
      </w:pPr>
      <w:proofErr w:type="spellStart"/>
      <w:r w:rsidRPr="004D5173">
        <w:rPr>
          <w:rFonts w:eastAsiaTheme="minorHAnsi"/>
        </w:rPr>
        <w:t>VisionServe</w:t>
      </w:r>
      <w:proofErr w:type="spellEnd"/>
      <w:r w:rsidRPr="004D5173">
        <w:rPr>
          <w:rFonts w:eastAsiaTheme="minorHAnsi"/>
        </w:rPr>
        <w:t xml:space="preserve"> Alliance</w:t>
      </w:r>
    </w:p>
    <w:p w14:paraId="4D07BF8C" w14:textId="44E12587" w:rsidR="00F01E9E" w:rsidRDefault="00634884" w:rsidP="0095319B">
      <w:pPr>
        <w:rPr>
          <w:rFonts w:eastAsiaTheme="minorHAnsi"/>
        </w:rPr>
      </w:pPr>
      <w:r w:rsidRPr="00634884">
        <w:rPr>
          <w:rFonts w:eastAsiaTheme="minorHAnsi"/>
        </w:rPr>
        <w:t>The Vision Council</w:t>
      </w:r>
    </w:p>
    <w:p w14:paraId="0D200738" w14:textId="77777777" w:rsidR="00C51C91" w:rsidRDefault="00C51C91" w:rsidP="0095319B">
      <w:pPr>
        <w:rPr>
          <w:rFonts w:eastAsiaTheme="minorHAnsi"/>
        </w:rPr>
      </w:pPr>
    </w:p>
    <w:p w14:paraId="122BBFF0" w14:textId="77777777" w:rsidR="00C51C91" w:rsidRDefault="00C51C91" w:rsidP="0095319B">
      <w:pPr>
        <w:rPr>
          <w:rFonts w:eastAsiaTheme="minorHAnsi"/>
        </w:rPr>
      </w:pPr>
    </w:p>
    <w:p w14:paraId="73AD36A9" w14:textId="121B6FA4" w:rsidR="007479E7" w:rsidRPr="00EE00D8" w:rsidRDefault="007479E7" w:rsidP="0095319B">
      <w:pPr>
        <w:rPr>
          <w:rFonts w:eastAsiaTheme="minorHAnsi"/>
          <w:b/>
          <w:bCs/>
          <w:u w:val="single"/>
        </w:rPr>
      </w:pPr>
      <w:r w:rsidRPr="00EE00D8">
        <w:rPr>
          <w:rFonts w:eastAsiaTheme="minorHAnsi"/>
          <w:b/>
          <w:bCs/>
          <w:u w:val="single"/>
        </w:rPr>
        <w:lastRenderedPageBreak/>
        <w:t>Additional Supporting Organizations</w:t>
      </w:r>
    </w:p>
    <w:p w14:paraId="406913CF" w14:textId="77777777" w:rsidR="00EE00D8" w:rsidRDefault="00EE00D8" w:rsidP="0095319B">
      <w:pPr>
        <w:rPr>
          <w:rFonts w:eastAsiaTheme="minorHAnsi"/>
          <w:b/>
          <w:bCs/>
        </w:rPr>
      </w:pPr>
    </w:p>
    <w:p w14:paraId="506E35FE" w14:textId="64890CA2" w:rsidR="00EE00D8" w:rsidRPr="00EE00D8" w:rsidRDefault="00EE00D8" w:rsidP="0095319B">
      <w:pPr>
        <w:rPr>
          <w:rFonts w:eastAsiaTheme="minorHAnsi"/>
        </w:rPr>
      </w:pPr>
      <w:proofErr w:type="spellStart"/>
      <w:r w:rsidRPr="00EE00D8">
        <w:rPr>
          <w:rFonts w:eastAsiaTheme="minorHAnsi"/>
        </w:rPr>
        <w:t>EyeSight</w:t>
      </w:r>
      <w:proofErr w:type="spellEnd"/>
      <w:r w:rsidRPr="00EE00D8">
        <w:rPr>
          <w:rFonts w:eastAsiaTheme="minorHAnsi"/>
        </w:rPr>
        <w:t xml:space="preserve"> Foundation of Alabama</w:t>
      </w:r>
      <w:r>
        <w:rPr>
          <w:rFonts w:eastAsiaTheme="minorHAnsi"/>
        </w:rPr>
        <w:br/>
      </w:r>
      <w:proofErr w:type="spellStart"/>
      <w:r w:rsidRPr="00EE00D8">
        <w:rPr>
          <w:rFonts w:eastAsiaTheme="minorHAnsi"/>
        </w:rPr>
        <w:t>Vispero</w:t>
      </w:r>
      <w:proofErr w:type="spellEnd"/>
    </w:p>
    <w:p w14:paraId="3CD4FB7F" w14:textId="77777777" w:rsidR="00EE00D8" w:rsidRPr="007479E7" w:rsidRDefault="00EE00D8" w:rsidP="0095319B">
      <w:pPr>
        <w:rPr>
          <w:rFonts w:eastAsiaTheme="minorHAnsi"/>
          <w:b/>
          <w:bCs/>
        </w:rPr>
      </w:pPr>
    </w:p>
    <w:sectPr w:rsidR="00EE00D8" w:rsidRPr="007479E7" w:rsidSect="007C1310">
      <w:footerReference w:type="default" r:id="rId10"/>
      <w:headerReference w:type="first" r:id="rId11"/>
      <w:footerReference w:type="first" r:id="rId12"/>
      <w:pgSz w:w="12240" w:h="15840"/>
      <w:pgMar w:top="1440" w:right="1440" w:bottom="1440" w:left="1440" w:header="43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FBFA6A" w14:textId="77777777" w:rsidR="0053535A" w:rsidRDefault="0053535A" w:rsidP="00960047">
      <w:r>
        <w:separator/>
      </w:r>
    </w:p>
  </w:endnote>
  <w:endnote w:type="continuationSeparator" w:id="0">
    <w:p w14:paraId="01176D41" w14:textId="77777777" w:rsidR="0053535A" w:rsidRDefault="0053535A" w:rsidP="009600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3267733"/>
      <w:docPartObj>
        <w:docPartGallery w:val="Page Numbers (Bottom of Page)"/>
        <w:docPartUnique/>
      </w:docPartObj>
    </w:sdtPr>
    <w:sdtEndPr>
      <w:rPr>
        <w:noProof/>
      </w:rPr>
    </w:sdtEndPr>
    <w:sdtContent>
      <w:p w14:paraId="0AB064A9" w14:textId="77777777" w:rsidR="00BC7E3F" w:rsidRDefault="00BC7E3F">
        <w:pPr>
          <w:pStyle w:val="Footer"/>
          <w:jc w:val="center"/>
        </w:pPr>
        <w:r>
          <w:fldChar w:fldCharType="begin"/>
        </w:r>
        <w:r>
          <w:instrText xml:space="preserve"> PAGE   \* MERGEFORMAT </w:instrText>
        </w:r>
        <w:r>
          <w:fldChar w:fldCharType="separate"/>
        </w:r>
        <w:r w:rsidR="00965592">
          <w:rPr>
            <w:noProof/>
          </w:rPr>
          <w:t>2</w:t>
        </w:r>
        <w:r>
          <w:rPr>
            <w:noProof/>
          </w:rPr>
          <w:fldChar w:fldCharType="end"/>
        </w:r>
      </w:p>
    </w:sdtContent>
  </w:sdt>
  <w:p w14:paraId="2C126729" w14:textId="77777777" w:rsidR="00BC7E3F" w:rsidRDefault="00BC7E3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FCDC18" w14:textId="76CB40BD" w:rsidR="004978D8" w:rsidRPr="00F42140" w:rsidRDefault="004978D8" w:rsidP="00DB51C0">
    <w:pPr>
      <w:pStyle w:val="Footer"/>
      <w:tabs>
        <w:tab w:val="clear" w:pos="4680"/>
        <w:tab w:val="clear" w:pos="9360"/>
        <w:tab w:val="left" w:pos="2880"/>
      </w:tabs>
      <w:jc w:val="center"/>
      <w:rPr>
        <w:rFonts w:ascii="Book Antiqua" w:hAnsi="Book Antiqua" w:cstheme="minorHAnsi"/>
        <w:color w:val="00009E"/>
        <w:sz w:val="22"/>
        <w:szCs w:val="20"/>
      </w:rPr>
    </w:pPr>
    <w:r w:rsidRPr="00F42140">
      <w:rPr>
        <w:rFonts w:ascii="Book Antiqua" w:hAnsi="Book Antiqua" w:cstheme="minorHAnsi"/>
        <w:color w:val="00009E"/>
        <w:sz w:val="22"/>
        <w:szCs w:val="20"/>
      </w:rPr>
      <w:t>• www.itemcoalition.org • 202-466-6550</w:t>
    </w:r>
  </w:p>
  <w:p w14:paraId="68BD270E" w14:textId="77777777" w:rsidR="004978D8" w:rsidRDefault="004978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847836" w14:textId="77777777" w:rsidR="0053535A" w:rsidRDefault="0053535A" w:rsidP="00960047">
      <w:pPr>
        <w:rPr>
          <w:noProof/>
        </w:rPr>
      </w:pPr>
      <w:r>
        <w:rPr>
          <w:noProof/>
        </w:rPr>
        <w:separator/>
      </w:r>
    </w:p>
  </w:footnote>
  <w:footnote w:type="continuationSeparator" w:id="0">
    <w:p w14:paraId="7483F7EF" w14:textId="77777777" w:rsidR="0053535A" w:rsidRDefault="0053535A" w:rsidP="00960047">
      <w:r>
        <w:continuationSeparator/>
      </w:r>
    </w:p>
  </w:footnote>
  <w:footnote w:id="1">
    <w:p w14:paraId="344C073D" w14:textId="77777777" w:rsidR="00DB51C0" w:rsidRDefault="00DB51C0" w:rsidP="00DB51C0">
      <w:pPr>
        <w:pStyle w:val="FootnoteText"/>
      </w:pPr>
      <w:r>
        <w:rPr>
          <w:rStyle w:val="FootnoteReference"/>
        </w:rPr>
        <w:footnoteRef/>
      </w:r>
      <w:r>
        <w:t xml:space="preserve"> </w:t>
      </w:r>
      <w:hyperlink r:id="rId1" w:history="1">
        <w:r w:rsidRPr="00223DCA">
          <w:rPr>
            <w:rStyle w:val="Hyperlink"/>
          </w:rPr>
          <w:t>https://www.whitehouse.gov/presidential-actions/2025/01/unleashing-prosperity-through-deregulation/</w:t>
        </w:r>
      </w:hyperlink>
      <w:r>
        <w:t xml:space="preserve">; </w:t>
      </w:r>
      <w:hyperlink r:id="rId2" w:history="1">
        <w:r w:rsidRPr="00223DCA">
          <w:rPr>
            <w:rStyle w:val="Hyperlink"/>
          </w:rPr>
          <w:t>https://www.whitehouse.gov/presidential-actions/2025/02/ensuring-lawful-governance-and-implementing-the-presidents-department-of-government-efficiency-regulatory-initiative/</w:t>
        </w:r>
      </w:hyperlink>
      <w:r>
        <w:t xml:space="preserve">. </w:t>
      </w:r>
    </w:p>
  </w:footnote>
  <w:footnote w:id="2">
    <w:p w14:paraId="5E6C4AAC" w14:textId="77777777" w:rsidR="004F33D2" w:rsidRPr="00F47763" w:rsidRDefault="004F33D2" w:rsidP="004F33D2">
      <w:pPr>
        <w:pStyle w:val="FootnoteText"/>
        <w:rPr>
          <w:lang w:val="en-US"/>
        </w:rPr>
      </w:pPr>
      <w:r>
        <w:rPr>
          <w:rStyle w:val="FootnoteReference"/>
        </w:rPr>
        <w:footnoteRef/>
      </w:r>
      <w:r>
        <w:t xml:space="preserve"> There are three exceptions:  (1) post-surgical prosthetic lenses customarily used during convalescence for eye surgery in which the lens of the eye was removed, (2) prosthetic intraocular lenses and one pair of conventional eyeglasses or contact lenses furnished subsequent to each cataract surgery with insertion of an intraocular lens, and (3) prosthetic lenses used by beneficiaries who are lacking the natural lens of the eye and who were not furnished with an intraocular lens.</w:t>
      </w:r>
      <w:r w:rsidRPr="00D47E29">
        <w:t xml:space="preserve"> 42 C.F.R. § 411.15(b)</w:t>
      </w:r>
      <w:r>
        <w:t xml:space="preserve">(2). </w:t>
      </w:r>
    </w:p>
  </w:footnote>
  <w:footnote w:id="3">
    <w:p w14:paraId="6F2AE678" w14:textId="13762725" w:rsidR="000245DB" w:rsidRPr="00A947AC" w:rsidRDefault="000245DB" w:rsidP="000245DB">
      <w:pPr>
        <w:pStyle w:val="FootnoteText"/>
        <w:rPr>
          <w:lang w:val="en-US"/>
        </w:rPr>
      </w:pPr>
      <w:r>
        <w:rPr>
          <w:rStyle w:val="FootnoteReference"/>
        </w:rPr>
        <w:footnoteRef/>
      </w:r>
      <w:r>
        <w:t xml:space="preserve"> </w:t>
      </w:r>
      <w:r w:rsidRPr="002B62AB">
        <w:t xml:space="preserve">VISIONSERVE ALLIANCE, UNITED STATES’ OLD POPULATION AND VISION LOSS: A BRIEFING, </w:t>
      </w:r>
      <w:r>
        <w:t>17</w:t>
      </w:r>
      <w:r w:rsidRPr="002B62AB">
        <w:t xml:space="preserve">  (2022), https://drive.google.com/file/d/1FnyenjMMa4LZNX1gbiaY8klWT-joyZ6D/view [hereinafter “Vision Loss Briefing”].</w:t>
      </w:r>
    </w:p>
  </w:footnote>
  <w:footnote w:id="4">
    <w:p w14:paraId="5BD88D2B" w14:textId="77777777" w:rsidR="000245DB" w:rsidRPr="00A947AC" w:rsidRDefault="000245DB" w:rsidP="000245DB">
      <w:pPr>
        <w:pStyle w:val="FootnoteText"/>
        <w:rPr>
          <w:lang w:val="en-US"/>
        </w:rPr>
      </w:pPr>
      <w:r>
        <w:rPr>
          <w:rStyle w:val="FootnoteReference"/>
        </w:rPr>
        <w:footnoteRef/>
      </w:r>
      <w:r>
        <w:t xml:space="preserve"> </w:t>
      </w:r>
      <w:r>
        <w:rPr>
          <w:i/>
          <w:iCs/>
          <w:lang w:val="en-US"/>
        </w:rPr>
        <w:t>Id.</w:t>
      </w:r>
    </w:p>
  </w:footnote>
  <w:footnote w:id="5">
    <w:p w14:paraId="1DAC82F7" w14:textId="77777777" w:rsidR="000245DB" w:rsidRPr="00A947AC" w:rsidRDefault="000245DB" w:rsidP="000245DB">
      <w:pPr>
        <w:pStyle w:val="FootnoteText"/>
        <w:rPr>
          <w:lang w:val="en-US"/>
        </w:rPr>
      </w:pPr>
      <w:r>
        <w:rPr>
          <w:rStyle w:val="FootnoteReference"/>
        </w:rPr>
        <w:footnoteRef/>
      </w:r>
      <w:r>
        <w:t xml:space="preserve"> </w:t>
      </w:r>
      <w:r>
        <w:rPr>
          <w:i/>
          <w:iCs/>
          <w:lang w:val="en-US"/>
        </w:rPr>
        <w:t xml:space="preserve">Id. </w:t>
      </w:r>
      <w:r>
        <w:rPr>
          <w:lang w:val="en-US"/>
        </w:rPr>
        <w:t>at 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D15F08" w14:textId="288FFCF2" w:rsidR="00BC7E3F" w:rsidRDefault="004978D8" w:rsidP="004978D8">
    <w:pPr>
      <w:pStyle w:val="Header"/>
      <w:jc w:val="center"/>
    </w:pPr>
    <w:r w:rsidRPr="007D5898">
      <w:rPr>
        <w:noProof/>
      </w:rPr>
      <w:drawing>
        <wp:inline distT="0" distB="0" distL="0" distR="0" wp14:anchorId="36E78F4E" wp14:editId="53A416F5">
          <wp:extent cx="2215590" cy="895350"/>
          <wp:effectExtent l="0" t="0" r="0" b="0"/>
          <wp:docPr id="2" name="Picture 2" descr="Logo" title="Independence Through Enhancement of Medicare and Medicaid (“ITEM”) Coalition document station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em 2738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26190" cy="89963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115C08"/>
    <w:multiLevelType w:val="hybridMultilevel"/>
    <w:tmpl w:val="AEDEFFD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3BC10BEF"/>
    <w:multiLevelType w:val="hybridMultilevel"/>
    <w:tmpl w:val="0744F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43B513A"/>
    <w:multiLevelType w:val="hybridMultilevel"/>
    <w:tmpl w:val="D1D22168"/>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 w15:restartNumberingAfterBreak="0">
    <w:nsid w:val="533F6364"/>
    <w:multiLevelType w:val="hybridMultilevel"/>
    <w:tmpl w:val="671AE4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3971EB5"/>
    <w:multiLevelType w:val="hybridMultilevel"/>
    <w:tmpl w:val="F8544A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4B6032F"/>
    <w:multiLevelType w:val="hybridMultilevel"/>
    <w:tmpl w:val="A8D815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F6D1D4C"/>
    <w:multiLevelType w:val="hybridMultilevel"/>
    <w:tmpl w:val="30F44D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61CA5DC6"/>
    <w:multiLevelType w:val="hybridMultilevel"/>
    <w:tmpl w:val="67300374"/>
    <w:lvl w:ilvl="0" w:tplc="F91C3552">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8BB0C42"/>
    <w:multiLevelType w:val="hybridMultilevel"/>
    <w:tmpl w:val="FC8656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2664562">
    <w:abstractNumId w:val="3"/>
  </w:num>
  <w:num w:numId="2" w16cid:durableId="1107963535">
    <w:abstractNumId w:val="4"/>
  </w:num>
  <w:num w:numId="3" w16cid:durableId="1561091454">
    <w:abstractNumId w:val="6"/>
  </w:num>
  <w:num w:numId="4" w16cid:durableId="1812942211">
    <w:abstractNumId w:val="0"/>
  </w:num>
  <w:num w:numId="5" w16cid:durableId="899290483">
    <w:abstractNumId w:val="5"/>
  </w:num>
  <w:num w:numId="6" w16cid:durableId="1602375210">
    <w:abstractNumId w:val="1"/>
  </w:num>
  <w:num w:numId="7" w16cid:durableId="1384862774">
    <w:abstractNumId w:val="8"/>
  </w:num>
  <w:num w:numId="8" w16cid:durableId="1082064898">
    <w:abstractNumId w:val="2"/>
  </w:num>
  <w:num w:numId="9" w16cid:durableId="1359545031">
    <w:abstractNumId w:val="2"/>
  </w:num>
  <w:num w:numId="10" w16cid:durableId="7687559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0047"/>
    <w:rsid w:val="00000EAC"/>
    <w:rsid w:val="000038E3"/>
    <w:rsid w:val="00016653"/>
    <w:rsid w:val="00022C4A"/>
    <w:rsid w:val="000245DB"/>
    <w:rsid w:val="00024F56"/>
    <w:rsid w:val="0002510F"/>
    <w:rsid w:val="00025E8B"/>
    <w:rsid w:val="00027547"/>
    <w:rsid w:val="0003271B"/>
    <w:rsid w:val="00062513"/>
    <w:rsid w:val="00084B82"/>
    <w:rsid w:val="00095620"/>
    <w:rsid w:val="000B43C5"/>
    <w:rsid w:val="000C10EC"/>
    <w:rsid w:val="000D43C0"/>
    <w:rsid w:val="00111A4B"/>
    <w:rsid w:val="00117C10"/>
    <w:rsid w:val="001269EF"/>
    <w:rsid w:val="001B1275"/>
    <w:rsid w:val="00202E11"/>
    <w:rsid w:val="0021061A"/>
    <w:rsid w:val="00212F88"/>
    <w:rsid w:val="00216BCF"/>
    <w:rsid w:val="00230211"/>
    <w:rsid w:val="00255C52"/>
    <w:rsid w:val="00257671"/>
    <w:rsid w:val="00281656"/>
    <w:rsid w:val="00281D99"/>
    <w:rsid w:val="002877D2"/>
    <w:rsid w:val="00297548"/>
    <w:rsid w:val="002E32EA"/>
    <w:rsid w:val="002E4BD3"/>
    <w:rsid w:val="002E6254"/>
    <w:rsid w:val="003209C8"/>
    <w:rsid w:val="00332BD2"/>
    <w:rsid w:val="00337295"/>
    <w:rsid w:val="0036381D"/>
    <w:rsid w:val="003654E7"/>
    <w:rsid w:val="00372FE7"/>
    <w:rsid w:val="003A15DC"/>
    <w:rsid w:val="003E780D"/>
    <w:rsid w:val="00421169"/>
    <w:rsid w:val="00433B63"/>
    <w:rsid w:val="00434BDA"/>
    <w:rsid w:val="004503F9"/>
    <w:rsid w:val="00464549"/>
    <w:rsid w:val="00482CB5"/>
    <w:rsid w:val="00492FA1"/>
    <w:rsid w:val="004978D8"/>
    <w:rsid w:val="004B0737"/>
    <w:rsid w:val="004B71D1"/>
    <w:rsid w:val="004B72EF"/>
    <w:rsid w:val="004C00B2"/>
    <w:rsid w:val="004C13F6"/>
    <w:rsid w:val="004C5CC3"/>
    <w:rsid w:val="004D5173"/>
    <w:rsid w:val="004D6482"/>
    <w:rsid w:val="004F2B0B"/>
    <w:rsid w:val="004F33D2"/>
    <w:rsid w:val="00504B64"/>
    <w:rsid w:val="005330A9"/>
    <w:rsid w:val="0053535A"/>
    <w:rsid w:val="00537E90"/>
    <w:rsid w:val="0054286A"/>
    <w:rsid w:val="00542FE8"/>
    <w:rsid w:val="00565D96"/>
    <w:rsid w:val="0058645A"/>
    <w:rsid w:val="00591A35"/>
    <w:rsid w:val="005935CB"/>
    <w:rsid w:val="00593F22"/>
    <w:rsid w:val="005A2442"/>
    <w:rsid w:val="005C5CB9"/>
    <w:rsid w:val="005E05DE"/>
    <w:rsid w:val="005F400B"/>
    <w:rsid w:val="006011D1"/>
    <w:rsid w:val="00634884"/>
    <w:rsid w:val="00637DB1"/>
    <w:rsid w:val="0065047D"/>
    <w:rsid w:val="00657072"/>
    <w:rsid w:val="00672340"/>
    <w:rsid w:val="0067268E"/>
    <w:rsid w:val="006757E0"/>
    <w:rsid w:val="00696103"/>
    <w:rsid w:val="00697533"/>
    <w:rsid w:val="006B10A2"/>
    <w:rsid w:val="006C295C"/>
    <w:rsid w:val="006C7B8B"/>
    <w:rsid w:val="006D0F2A"/>
    <w:rsid w:val="006E69A4"/>
    <w:rsid w:val="00720459"/>
    <w:rsid w:val="007479E7"/>
    <w:rsid w:val="00751609"/>
    <w:rsid w:val="00753E63"/>
    <w:rsid w:val="00766F21"/>
    <w:rsid w:val="00795BC4"/>
    <w:rsid w:val="007C1310"/>
    <w:rsid w:val="007C1E58"/>
    <w:rsid w:val="007E170C"/>
    <w:rsid w:val="007E5A66"/>
    <w:rsid w:val="008270BE"/>
    <w:rsid w:val="008445C9"/>
    <w:rsid w:val="00844936"/>
    <w:rsid w:val="00855D4D"/>
    <w:rsid w:val="00862EE0"/>
    <w:rsid w:val="00887DFC"/>
    <w:rsid w:val="008C12AC"/>
    <w:rsid w:val="008C1BD4"/>
    <w:rsid w:val="008E0FC7"/>
    <w:rsid w:val="00900A11"/>
    <w:rsid w:val="00910CA7"/>
    <w:rsid w:val="0092275B"/>
    <w:rsid w:val="00922D34"/>
    <w:rsid w:val="00923521"/>
    <w:rsid w:val="00924BEF"/>
    <w:rsid w:val="0095319B"/>
    <w:rsid w:val="00960047"/>
    <w:rsid w:val="009622E5"/>
    <w:rsid w:val="00965592"/>
    <w:rsid w:val="009662A9"/>
    <w:rsid w:val="00967620"/>
    <w:rsid w:val="009747EE"/>
    <w:rsid w:val="009924FF"/>
    <w:rsid w:val="0099419C"/>
    <w:rsid w:val="009A1191"/>
    <w:rsid w:val="009B1E1F"/>
    <w:rsid w:val="009D2C23"/>
    <w:rsid w:val="009D3EA8"/>
    <w:rsid w:val="009E0AB8"/>
    <w:rsid w:val="009E6B22"/>
    <w:rsid w:val="00A17029"/>
    <w:rsid w:val="00A32778"/>
    <w:rsid w:val="00A4033C"/>
    <w:rsid w:val="00A54603"/>
    <w:rsid w:val="00A67CB2"/>
    <w:rsid w:val="00A715B2"/>
    <w:rsid w:val="00A73FF8"/>
    <w:rsid w:val="00A74696"/>
    <w:rsid w:val="00A80A6F"/>
    <w:rsid w:val="00A84802"/>
    <w:rsid w:val="00A96414"/>
    <w:rsid w:val="00AA3727"/>
    <w:rsid w:val="00AB26DE"/>
    <w:rsid w:val="00AC5C3D"/>
    <w:rsid w:val="00B02E5F"/>
    <w:rsid w:val="00B212E1"/>
    <w:rsid w:val="00B2747D"/>
    <w:rsid w:val="00B309F7"/>
    <w:rsid w:val="00B627B1"/>
    <w:rsid w:val="00B779CB"/>
    <w:rsid w:val="00B80B15"/>
    <w:rsid w:val="00B82D0A"/>
    <w:rsid w:val="00BB3B21"/>
    <w:rsid w:val="00BC4740"/>
    <w:rsid w:val="00BC7415"/>
    <w:rsid w:val="00BC7E3F"/>
    <w:rsid w:val="00BD4510"/>
    <w:rsid w:val="00BF50F7"/>
    <w:rsid w:val="00C008B1"/>
    <w:rsid w:val="00C319BF"/>
    <w:rsid w:val="00C47968"/>
    <w:rsid w:val="00C51C91"/>
    <w:rsid w:val="00C84702"/>
    <w:rsid w:val="00CB4C2E"/>
    <w:rsid w:val="00CC3E0E"/>
    <w:rsid w:val="00CE6BAF"/>
    <w:rsid w:val="00CE75E7"/>
    <w:rsid w:val="00CF59C2"/>
    <w:rsid w:val="00D34D5C"/>
    <w:rsid w:val="00D34E9E"/>
    <w:rsid w:val="00D37974"/>
    <w:rsid w:val="00D404E6"/>
    <w:rsid w:val="00D41AEF"/>
    <w:rsid w:val="00D47E29"/>
    <w:rsid w:val="00D60588"/>
    <w:rsid w:val="00D606B1"/>
    <w:rsid w:val="00D61AC4"/>
    <w:rsid w:val="00D62D38"/>
    <w:rsid w:val="00D84DCD"/>
    <w:rsid w:val="00D9034E"/>
    <w:rsid w:val="00D94EBC"/>
    <w:rsid w:val="00DB301B"/>
    <w:rsid w:val="00DB51C0"/>
    <w:rsid w:val="00DD22FC"/>
    <w:rsid w:val="00DE0F67"/>
    <w:rsid w:val="00DE2E2F"/>
    <w:rsid w:val="00DE78B9"/>
    <w:rsid w:val="00DF2F23"/>
    <w:rsid w:val="00DF5E72"/>
    <w:rsid w:val="00E4651D"/>
    <w:rsid w:val="00E70C76"/>
    <w:rsid w:val="00E96530"/>
    <w:rsid w:val="00EA6056"/>
    <w:rsid w:val="00EE00D8"/>
    <w:rsid w:val="00EF015A"/>
    <w:rsid w:val="00F01E9E"/>
    <w:rsid w:val="00F02664"/>
    <w:rsid w:val="00F06F49"/>
    <w:rsid w:val="00F31FD6"/>
    <w:rsid w:val="00F47763"/>
    <w:rsid w:val="00F52E72"/>
    <w:rsid w:val="00F76DB7"/>
    <w:rsid w:val="00FA0424"/>
    <w:rsid w:val="00FD43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1BB486"/>
  <w15:docId w15:val="{5D1C8E29-5CE8-41D3-B9DB-70DA9AACC5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0047"/>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960047"/>
    <w:rPr>
      <w:rFonts w:cs="Times New Roman"/>
      <w:color w:val="0000FF"/>
      <w:u w:val="single"/>
    </w:rPr>
  </w:style>
  <w:style w:type="paragraph" w:styleId="ListParagraph">
    <w:name w:val="List Paragraph"/>
    <w:basedOn w:val="Normal"/>
    <w:uiPriority w:val="34"/>
    <w:qFormat/>
    <w:rsid w:val="00960047"/>
    <w:pPr>
      <w:ind w:left="720"/>
      <w:contextualSpacing/>
    </w:pPr>
    <w:rPr>
      <w:rFonts w:ascii="Calibri" w:eastAsia="Calibri" w:hAnsi="Calibri"/>
      <w:sz w:val="22"/>
      <w:szCs w:val="22"/>
    </w:rPr>
  </w:style>
  <w:style w:type="paragraph" w:customStyle="1" w:styleId="Default">
    <w:name w:val="Default"/>
    <w:uiPriority w:val="99"/>
    <w:rsid w:val="00960047"/>
    <w:pPr>
      <w:autoSpaceDE w:val="0"/>
      <w:autoSpaceDN w:val="0"/>
      <w:adjustRightInd w:val="0"/>
    </w:pPr>
    <w:rPr>
      <w:rFonts w:ascii="Calibri" w:eastAsia="Times New Roman" w:hAnsi="Calibri" w:cs="Calibri"/>
      <w:color w:val="000000"/>
      <w:szCs w:val="24"/>
    </w:rPr>
  </w:style>
  <w:style w:type="paragraph" w:styleId="Header">
    <w:name w:val="header"/>
    <w:basedOn w:val="Normal"/>
    <w:link w:val="HeaderChar"/>
    <w:uiPriority w:val="99"/>
    <w:unhideWhenUsed/>
    <w:rsid w:val="00960047"/>
    <w:pPr>
      <w:tabs>
        <w:tab w:val="center" w:pos="4680"/>
        <w:tab w:val="right" w:pos="9360"/>
      </w:tabs>
    </w:pPr>
  </w:style>
  <w:style w:type="character" w:customStyle="1" w:styleId="HeaderChar">
    <w:name w:val="Header Char"/>
    <w:basedOn w:val="DefaultParagraphFont"/>
    <w:link w:val="Header"/>
    <w:uiPriority w:val="99"/>
    <w:rsid w:val="00960047"/>
    <w:rPr>
      <w:rFonts w:eastAsia="Times New Roman" w:cs="Times New Roman"/>
      <w:szCs w:val="24"/>
    </w:rPr>
  </w:style>
  <w:style w:type="paragraph" w:styleId="Footer">
    <w:name w:val="footer"/>
    <w:basedOn w:val="Normal"/>
    <w:link w:val="FooterChar"/>
    <w:uiPriority w:val="99"/>
    <w:unhideWhenUsed/>
    <w:rsid w:val="00960047"/>
    <w:pPr>
      <w:tabs>
        <w:tab w:val="center" w:pos="4680"/>
        <w:tab w:val="right" w:pos="9360"/>
      </w:tabs>
    </w:pPr>
  </w:style>
  <w:style w:type="character" w:customStyle="1" w:styleId="FooterChar">
    <w:name w:val="Footer Char"/>
    <w:basedOn w:val="DefaultParagraphFont"/>
    <w:link w:val="Footer"/>
    <w:uiPriority w:val="99"/>
    <w:rsid w:val="00960047"/>
    <w:rPr>
      <w:rFonts w:eastAsia="Times New Roman" w:cs="Times New Roman"/>
      <w:szCs w:val="24"/>
    </w:rPr>
  </w:style>
  <w:style w:type="character" w:styleId="CommentReference">
    <w:name w:val="annotation reference"/>
    <w:basedOn w:val="DefaultParagraphFont"/>
    <w:uiPriority w:val="99"/>
    <w:semiHidden/>
    <w:unhideWhenUsed/>
    <w:rsid w:val="00D84DCD"/>
    <w:rPr>
      <w:sz w:val="16"/>
      <w:szCs w:val="16"/>
    </w:rPr>
  </w:style>
  <w:style w:type="paragraph" w:styleId="CommentText">
    <w:name w:val="annotation text"/>
    <w:basedOn w:val="Normal"/>
    <w:link w:val="CommentTextChar"/>
    <w:uiPriority w:val="99"/>
    <w:semiHidden/>
    <w:unhideWhenUsed/>
    <w:rsid w:val="00D84DCD"/>
    <w:rPr>
      <w:sz w:val="20"/>
      <w:szCs w:val="20"/>
    </w:rPr>
  </w:style>
  <w:style w:type="character" w:customStyle="1" w:styleId="CommentTextChar">
    <w:name w:val="Comment Text Char"/>
    <w:basedOn w:val="DefaultParagraphFont"/>
    <w:link w:val="CommentText"/>
    <w:uiPriority w:val="99"/>
    <w:semiHidden/>
    <w:rsid w:val="00D84DCD"/>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84DCD"/>
    <w:rPr>
      <w:b/>
      <w:bCs/>
    </w:rPr>
  </w:style>
  <w:style w:type="character" w:customStyle="1" w:styleId="CommentSubjectChar">
    <w:name w:val="Comment Subject Char"/>
    <w:basedOn w:val="CommentTextChar"/>
    <w:link w:val="CommentSubject"/>
    <w:uiPriority w:val="99"/>
    <w:semiHidden/>
    <w:rsid w:val="00D84DCD"/>
    <w:rPr>
      <w:rFonts w:eastAsia="Times New Roman" w:cs="Times New Roman"/>
      <w:b/>
      <w:bCs/>
      <w:sz w:val="20"/>
      <w:szCs w:val="20"/>
    </w:rPr>
  </w:style>
  <w:style w:type="paragraph" w:styleId="BalloonText">
    <w:name w:val="Balloon Text"/>
    <w:basedOn w:val="Normal"/>
    <w:link w:val="BalloonTextChar"/>
    <w:uiPriority w:val="99"/>
    <w:semiHidden/>
    <w:unhideWhenUsed/>
    <w:rsid w:val="00D84DCD"/>
    <w:rPr>
      <w:rFonts w:ascii="Tahoma" w:hAnsi="Tahoma" w:cs="Tahoma"/>
      <w:sz w:val="16"/>
      <w:szCs w:val="16"/>
    </w:rPr>
  </w:style>
  <w:style w:type="character" w:customStyle="1" w:styleId="BalloonTextChar">
    <w:name w:val="Balloon Text Char"/>
    <w:basedOn w:val="DefaultParagraphFont"/>
    <w:link w:val="BalloonText"/>
    <w:uiPriority w:val="99"/>
    <w:semiHidden/>
    <w:rsid w:val="00D84DCD"/>
    <w:rPr>
      <w:rFonts w:ascii="Tahoma" w:eastAsia="Times New Roman" w:hAnsi="Tahoma" w:cs="Tahoma"/>
      <w:sz w:val="16"/>
      <w:szCs w:val="16"/>
    </w:rPr>
  </w:style>
  <w:style w:type="paragraph" w:styleId="FootnoteText">
    <w:name w:val="footnote text"/>
    <w:basedOn w:val="Normal"/>
    <w:link w:val="FootnoteTextChar"/>
    <w:uiPriority w:val="99"/>
    <w:unhideWhenUsed/>
    <w:qFormat/>
    <w:rsid w:val="008270BE"/>
    <w:rPr>
      <w:rFonts w:eastAsia="Calibri"/>
      <w:sz w:val="20"/>
      <w:szCs w:val="20"/>
      <w:lang w:val="x-none" w:eastAsia="x-none"/>
    </w:rPr>
  </w:style>
  <w:style w:type="character" w:customStyle="1" w:styleId="FootnoteTextChar">
    <w:name w:val="Footnote Text Char"/>
    <w:basedOn w:val="DefaultParagraphFont"/>
    <w:link w:val="FootnoteText"/>
    <w:uiPriority w:val="99"/>
    <w:rsid w:val="008270BE"/>
    <w:rPr>
      <w:rFonts w:eastAsia="Calibri" w:cs="Times New Roman"/>
      <w:sz w:val="20"/>
      <w:szCs w:val="20"/>
      <w:lang w:val="x-none" w:eastAsia="x-none"/>
    </w:rPr>
  </w:style>
  <w:style w:type="character" w:styleId="FootnoteReference">
    <w:name w:val="footnote reference"/>
    <w:basedOn w:val="DefaultParagraphFont"/>
    <w:uiPriority w:val="99"/>
    <w:unhideWhenUsed/>
    <w:rsid w:val="00967620"/>
    <w:rPr>
      <w:vertAlign w:val="superscript"/>
    </w:rPr>
  </w:style>
  <w:style w:type="character" w:styleId="UnresolvedMention">
    <w:name w:val="Unresolved Mention"/>
    <w:basedOn w:val="DefaultParagraphFont"/>
    <w:uiPriority w:val="99"/>
    <w:semiHidden/>
    <w:unhideWhenUsed/>
    <w:rsid w:val="00095620"/>
    <w:rPr>
      <w:color w:val="605E5C"/>
      <w:shd w:val="clear" w:color="auto" w:fill="E1DFDD"/>
    </w:rPr>
  </w:style>
  <w:style w:type="paragraph" w:styleId="EndnoteText">
    <w:name w:val="endnote text"/>
    <w:basedOn w:val="Normal"/>
    <w:link w:val="EndnoteTextChar"/>
    <w:uiPriority w:val="99"/>
    <w:semiHidden/>
    <w:unhideWhenUsed/>
    <w:rsid w:val="00F47763"/>
    <w:rPr>
      <w:sz w:val="20"/>
      <w:szCs w:val="20"/>
    </w:rPr>
  </w:style>
  <w:style w:type="character" w:customStyle="1" w:styleId="EndnoteTextChar">
    <w:name w:val="Endnote Text Char"/>
    <w:basedOn w:val="DefaultParagraphFont"/>
    <w:link w:val="EndnoteText"/>
    <w:uiPriority w:val="99"/>
    <w:semiHidden/>
    <w:rsid w:val="00F47763"/>
    <w:rPr>
      <w:rFonts w:eastAsia="Times New Roman" w:cs="Times New Roman"/>
      <w:sz w:val="20"/>
      <w:szCs w:val="20"/>
    </w:rPr>
  </w:style>
  <w:style w:type="character" w:styleId="EndnoteReference">
    <w:name w:val="endnote reference"/>
    <w:basedOn w:val="DefaultParagraphFont"/>
    <w:uiPriority w:val="99"/>
    <w:semiHidden/>
    <w:unhideWhenUsed/>
    <w:rsid w:val="00F47763"/>
    <w:rPr>
      <w:vertAlign w:val="superscript"/>
    </w:rPr>
  </w:style>
  <w:style w:type="paragraph" w:styleId="Revision">
    <w:name w:val="Revision"/>
    <w:hidden/>
    <w:uiPriority w:val="99"/>
    <w:semiHidden/>
    <w:rsid w:val="00A54603"/>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8906551">
      <w:bodyDiv w:val="1"/>
      <w:marLeft w:val="0"/>
      <w:marRight w:val="0"/>
      <w:marTop w:val="0"/>
      <w:marBottom w:val="0"/>
      <w:divBdr>
        <w:top w:val="none" w:sz="0" w:space="0" w:color="auto"/>
        <w:left w:val="none" w:sz="0" w:space="0" w:color="auto"/>
        <w:bottom w:val="none" w:sz="0" w:space="0" w:color="auto"/>
        <w:right w:val="none" w:sz="0" w:space="0" w:color="auto"/>
      </w:divBdr>
    </w:div>
    <w:div w:id="946280419">
      <w:bodyDiv w:val="1"/>
      <w:marLeft w:val="0"/>
      <w:marRight w:val="0"/>
      <w:marTop w:val="0"/>
      <w:marBottom w:val="0"/>
      <w:divBdr>
        <w:top w:val="none" w:sz="0" w:space="0" w:color="auto"/>
        <w:left w:val="none" w:sz="0" w:space="0" w:color="auto"/>
        <w:bottom w:val="none" w:sz="0" w:space="0" w:color="auto"/>
        <w:right w:val="none" w:sz="0" w:space="0" w:color="auto"/>
      </w:divBdr>
    </w:div>
    <w:div w:id="1470518974">
      <w:bodyDiv w:val="1"/>
      <w:marLeft w:val="0"/>
      <w:marRight w:val="0"/>
      <w:marTop w:val="0"/>
      <w:marBottom w:val="0"/>
      <w:divBdr>
        <w:top w:val="none" w:sz="0" w:space="0" w:color="auto"/>
        <w:left w:val="none" w:sz="0" w:space="0" w:color="auto"/>
        <w:bottom w:val="none" w:sz="0" w:space="0" w:color="auto"/>
        <w:right w:val="none" w:sz="0" w:space="0" w:color="auto"/>
      </w:divBdr>
    </w:div>
    <w:div w:id="1578899129">
      <w:bodyDiv w:val="1"/>
      <w:marLeft w:val="0"/>
      <w:marRight w:val="0"/>
      <w:marTop w:val="0"/>
      <w:marBottom w:val="0"/>
      <w:divBdr>
        <w:top w:val="none" w:sz="0" w:space="0" w:color="auto"/>
        <w:left w:val="none" w:sz="0" w:space="0" w:color="auto"/>
        <w:bottom w:val="none" w:sz="0" w:space="0" w:color="auto"/>
        <w:right w:val="none" w:sz="0" w:space="0" w:color="auto"/>
      </w:divBdr>
    </w:div>
    <w:div w:id="1676106790">
      <w:bodyDiv w:val="1"/>
      <w:marLeft w:val="0"/>
      <w:marRight w:val="0"/>
      <w:marTop w:val="0"/>
      <w:marBottom w:val="0"/>
      <w:divBdr>
        <w:top w:val="none" w:sz="0" w:space="0" w:color="auto"/>
        <w:left w:val="none" w:sz="0" w:space="0" w:color="auto"/>
        <w:bottom w:val="none" w:sz="0" w:space="0" w:color="auto"/>
        <w:right w:val="none" w:sz="0" w:space="0" w:color="auto"/>
      </w:divBdr>
    </w:div>
    <w:div w:id="1789005663">
      <w:bodyDiv w:val="1"/>
      <w:marLeft w:val="0"/>
      <w:marRight w:val="0"/>
      <w:marTop w:val="0"/>
      <w:marBottom w:val="0"/>
      <w:divBdr>
        <w:top w:val="none" w:sz="0" w:space="0" w:color="auto"/>
        <w:left w:val="none" w:sz="0" w:space="0" w:color="auto"/>
        <w:bottom w:val="none" w:sz="0" w:space="0" w:color="auto"/>
        <w:right w:val="none" w:sz="0" w:space="0" w:color="auto"/>
      </w:divBdr>
    </w:div>
    <w:div w:id="1822119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eter.Thomas@PowersLaw.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Leela.Baggett@PowersLaw.com"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www.whitehouse.gov/presidential-actions/2025/02/ensuring-lawful-governance-and-implementing-the-presidents-department-of-government-efficiency-regulatory-initiative/" TargetMode="External"/><Relationship Id="rId1" Type="http://schemas.openxmlformats.org/officeDocument/2006/relationships/hyperlink" Target="https://www.whitehouse.gov/presidential-actions/2025/01/unleashing-prosperity-through-deregulatio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26E782-EAFB-459B-8411-8FF5937EEA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TotalTime>
  <Pages>4</Pages>
  <Words>1103</Words>
  <Characters>6584</Characters>
  <Application>Microsoft Office Word</Application>
  <DocSecurity>0</DocSecurity>
  <PresentationFormat/>
  <Lines>128</Lines>
  <Paragraphs>37</Paragraphs>
  <ScaleCrop>false</ScaleCrop>
  <HeadingPairs>
    <vt:vector size="2" baseType="variant">
      <vt:variant>
        <vt:lpstr>Title</vt:lpstr>
      </vt:variant>
      <vt:variant>
        <vt:i4>1</vt:i4>
      </vt:variant>
    </vt:vector>
  </HeadingPairs>
  <TitlesOfParts>
    <vt:vector size="1" baseType="lpstr">
      <vt:lpstr>Revised Letter re. Deregulation (D1169986).DOCX</vt:lpstr>
    </vt:vector>
  </TitlesOfParts>
  <Company/>
  <LinksUpToDate>false</LinksUpToDate>
  <CharactersWithSpaces>7688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 for Deregulation of Rule Barring Medicare Coverage of Low Vision Devices (D1169986).DOCX</dc:title>
  <dc:subject>wdNOSTAMP</dc:subject>
  <dc:creator>Peter Thomas</dc:creator>
  <dc:description>DO NOT STAMP</dc:description>
  <cp:lastModifiedBy>Baggett, Leela</cp:lastModifiedBy>
  <cp:revision>22</cp:revision>
  <cp:lastPrinted>2025-02-14T21:53:00Z</cp:lastPrinted>
  <dcterms:created xsi:type="dcterms:W3CDTF">2025-03-20T18:39:00Z</dcterms:created>
  <dcterms:modified xsi:type="dcterms:W3CDTF">2025-04-01T21:17:00Z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IFAAcdeYKKRO1CNIktY0P1+2JGMWj1NMXSPSgM+shb5EW0SrknZwgyKsT90i4Ihqul28gV8RE9WCQ1Vs
nEb1+KbTIl9l8eKnaxESdRUuXXbGa5xRNuceARkr8Dl+OxMB652Rck1LJIB5aVJiLA+i6Z2iCR2c
48P/5ogr59Np9zvCysRmv+FACukx/aJXtf6+8IC//4jpqeLYPrtsg2fr1fW4YGfuQSJqFoEdTgYg
jnrsL+58rx6rLMwSd</vt:lpwstr>
  </property>
  <property fmtid="{D5CDD505-2E9C-101B-9397-08002B2CF9AE}" pid="3" name="MAIL_MSG_ID2">
    <vt:lpwstr>j1REiLdmYUSAPHNZcCSB6Sblc323MIEcK+x6OQnRCuJNCrbX0xGl5qWdYoN
v0yYi0Z9AhwMpSkW</vt:lpwstr>
  </property>
  <property fmtid="{D5CDD505-2E9C-101B-9397-08002B2CF9AE}" pid="4" name="RESPONSE_SENDER_NAME">
    <vt:lpwstr>sAAAb0xRtPDW5UvVpvGkJoFCdQ9KK4riYurVB5CWArQ5sc4=</vt:lpwstr>
  </property>
  <property fmtid="{D5CDD505-2E9C-101B-9397-08002B2CF9AE}" pid="5" name="EMAIL_OWNER_ADDRESS">
    <vt:lpwstr>4AAA4Lxe55UJ0C9uSmJ5/Xdd+WSLLEP2JHVOMvRb+0NY8mQhGB03EFJQ9Q==</vt:lpwstr>
  </property>
</Properties>
</file>