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5B02" w14:textId="7C6AD2F9" w:rsidR="00D113DE" w:rsidRPr="008F7BEE" w:rsidRDefault="001B251E"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noProof/>
          <w:color w:val="2E2763"/>
          <w:spacing w:val="12"/>
          <w:sz w:val="24"/>
          <w:szCs w:val="24"/>
        </w:rPr>
        <w:drawing>
          <wp:anchor distT="0" distB="0" distL="114300" distR="114300" simplePos="0" relativeHeight="251657728" behindDoc="0" locked="0" layoutInCell="1" allowOverlap="1" wp14:anchorId="0B14212F" wp14:editId="3F447D1A">
            <wp:simplePos x="0" y="0"/>
            <wp:positionH relativeFrom="column">
              <wp:posOffset>-59503</wp:posOffset>
            </wp:positionH>
            <wp:positionV relativeFrom="page">
              <wp:posOffset>460375</wp:posOffset>
            </wp:positionV>
            <wp:extent cx="3583940" cy="833120"/>
            <wp:effectExtent l="0" t="0" r="0" b="5080"/>
            <wp:wrapNone/>
            <wp:docPr id="2" name="Picture 2" title="AC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b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8394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1DD">
        <w:rPr>
          <w:rFonts w:asciiTheme="minorHAnsi" w:hAnsiTheme="minorHAnsi"/>
          <w:b w:val="0"/>
          <w:color w:val="2E2763"/>
          <w:spacing w:val="-2"/>
          <w:sz w:val="24"/>
          <w:szCs w:val="24"/>
        </w:rPr>
        <w:t xml:space="preserve">225 </w:t>
      </w:r>
      <w:proofErr w:type="spellStart"/>
      <w:r w:rsidR="001611DD">
        <w:rPr>
          <w:rFonts w:asciiTheme="minorHAnsi" w:hAnsiTheme="minorHAnsi"/>
          <w:b w:val="0"/>
          <w:color w:val="2E2763"/>
          <w:spacing w:val="-2"/>
          <w:sz w:val="24"/>
          <w:szCs w:val="24"/>
        </w:rPr>
        <w:t>Reinekers</w:t>
      </w:r>
      <w:proofErr w:type="spellEnd"/>
      <w:r w:rsidR="001611DD">
        <w:rPr>
          <w:rFonts w:asciiTheme="minorHAnsi" w:hAnsiTheme="minorHAnsi"/>
          <w:b w:val="0"/>
          <w:color w:val="2E2763"/>
          <w:spacing w:val="-2"/>
          <w:sz w:val="24"/>
          <w:szCs w:val="24"/>
        </w:rPr>
        <w:t xml:space="preserve"> Ln., Suite 660</w:t>
      </w:r>
    </w:p>
    <w:p w14:paraId="2F2F66C5" w14:textId="2F897351" w:rsidR="00D113DE" w:rsidRPr="008F7BEE" w:rsidRDefault="00297DF0"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A</w:t>
      </w:r>
      <w:r w:rsidR="008D3DD6" w:rsidRPr="008F7BEE">
        <w:rPr>
          <w:rFonts w:asciiTheme="minorHAnsi" w:hAnsiTheme="minorHAnsi"/>
          <w:b w:val="0"/>
          <w:color w:val="2E2763"/>
          <w:spacing w:val="-2"/>
          <w:sz w:val="24"/>
          <w:szCs w:val="24"/>
        </w:rPr>
        <w:t>lexandria</w:t>
      </w:r>
      <w:r w:rsidRPr="008F7BEE">
        <w:rPr>
          <w:rFonts w:asciiTheme="minorHAnsi" w:hAnsiTheme="minorHAnsi"/>
          <w:b w:val="0"/>
          <w:color w:val="2E2763"/>
          <w:spacing w:val="-2"/>
          <w:sz w:val="24"/>
          <w:szCs w:val="24"/>
        </w:rPr>
        <w:t>, VA 22</w:t>
      </w:r>
      <w:r w:rsidR="008D3DD6" w:rsidRPr="008F7BEE">
        <w:rPr>
          <w:rFonts w:asciiTheme="minorHAnsi" w:hAnsiTheme="minorHAnsi"/>
          <w:b w:val="0"/>
          <w:color w:val="2E2763"/>
          <w:spacing w:val="-2"/>
          <w:sz w:val="24"/>
          <w:szCs w:val="24"/>
        </w:rPr>
        <w:t>31</w:t>
      </w:r>
      <w:r w:rsidR="001611DD">
        <w:rPr>
          <w:rFonts w:asciiTheme="minorHAnsi" w:hAnsiTheme="minorHAnsi"/>
          <w:b w:val="0"/>
          <w:color w:val="2E2763"/>
          <w:spacing w:val="-2"/>
          <w:sz w:val="24"/>
          <w:szCs w:val="24"/>
        </w:rPr>
        <w:t>4</w:t>
      </w:r>
      <w:r w:rsidR="00E25664" w:rsidRPr="008F7BEE">
        <w:rPr>
          <w:rFonts w:asciiTheme="minorHAnsi" w:hAnsiTheme="minorHAnsi"/>
          <w:b w:val="0"/>
          <w:color w:val="2E2763"/>
          <w:spacing w:val="-2"/>
          <w:sz w:val="24"/>
          <w:szCs w:val="24"/>
        </w:rPr>
        <w:t xml:space="preserve"> </w:t>
      </w:r>
    </w:p>
    <w:p w14:paraId="7076D954" w14:textId="0C70B134" w:rsidR="00D113DE" w:rsidRPr="008F7BEE" w:rsidRDefault="00E25664" w:rsidP="008F7BEE">
      <w:pPr>
        <w:ind w:left="1440" w:firstLine="634"/>
        <w:jc w:val="right"/>
        <w:outlineLvl w:val="0"/>
        <w:rPr>
          <w:rFonts w:asciiTheme="minorHAnsi" w:hAnsiTheme="minorHAnsi"/>
          <w:b w:val="0"/>
          <w:color w:val="2E2763"/>
          <w:spacing w:val="-2"/>
          <w:sz w:val="24"/>
          <w:szCs w:val="24"/>
        </w:rPr>
      </w:pPr>
      <w:r w:rsidRPr="008F7BEE">
        <w:rPr>
          <w:rFonts w:asciiTheme="minorHAnsi" w:hAnsiTheme="minorHAnsi"/>
          <w:b w:val="0"/>
          <w:color w:val="2E2763"/>
          <w:spacing w:val="-2"/>
          <w:sz w:val="24"/>
          <w:szCs w:val="24"/>
        </w:rPr>
        <w:t xml:space="preserve">Tel: </w:t>
      </w:r>
      <w:r w:rsidR="007E7F6E" w:rsidRPr="008F7BEE">
        <w:rPr>
          <w:rFonts w:asciiTheme="minorHAnsi" w:hAnsiTheme="minorHAnsi"/>
          <w:b w:val="0"/>
          <w:color w:val="2E2763"/>
          <w:spacing w:val="-2"/>
          <w:sz w:val="24"/>
          <w:szCs w:val="24"/>
        </w:rPr>
        <w:t>(</w:t>
      </w:r>
      <w:r w:rsidRPr="008F7BEE">
        <w:rPr>
          <w:rFonts w:asciiTheme="minorHAnsi" w:hAnsiTheme="minorHAnsi"/>
          <w:b w:val="0"/>
          <w:color w:val="2E2763"/>
          <w:spacing w:val="-2"/>
          <w:sz w:val="24"/>
          <w:szCs w:val="24"/>
        </w:rPr>
        <w:t>202</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467-5081</w:t>
      </w:r>
      <w:r w:rsidR="00335ABF" w:rsidRPr="008F7BEE">
        <w:rPr>
          <w:rFonts w:asciiTheme="minorHAnsi" w:hAnsiTheme="minorHAnsi"/>
          <w:b w:val="0"/>
          <w:color w:val="2E2763"/>
          <w:spacing w:val="-2"/>
          <w:sz w:val="24"/>
          <w:szCs w:val="24"/>
        </w:rPr>
        <w:t xml:space="preserve"> </w:t>
      </w:r>
    </w:p>
    <w:p w14:paraId="0B4E2ACE" w14:textId="1A7C5757" w:rsidR="00053BF3" w:rsidRPr="008F7BEE" w:rsidRDefault="00E25664" w:rsidP="008F7BEE">
      <w:pPr>
        <w:ind w:left="1440" w:firstLine="634"/>
        <w:jc w:val="right"/>
        <w:outlineLvl w:val="0"/>
        <w:rPr>
          <w:rFonts w:asciiTheme="minorHAnsi" w:hAnsiTheme="minorHAnsi"/>
          <w:b w:val="0"/>
          <w:color w:val="2E2763"/>
          <w:spacing w:val="12"/>
          <w:sz w:val="24"/>
          <w:szCs w:val="24"/>
        </w:rPr>
      </w:pPr>
      <w:r w:rsidRPr="008F7BEE">
        <w:rPr>
          <w:rFonts w:asciiTheme="minorHAnsi" w:hAnsiTheme="minorHAnsi"/>
          <w:b w:val="0"/>
          <w:color w:val="2E2763"/>
          <w:spacing w:val="-2"/>
          <w:sz w:val="24"/>
          <w:szCs w:val="24"/>
        </w:rPr>
        <w:t xml:space="preserve">Fax: </w:t>
      </w:r>
      <w:r w:rsidR="007E7F6E" w:rsidRPr="008F7BEE">
        <w:rPr>
          <w:rFonts w:asciiTheme="minorHAnsi" w:hAnsiTheme="minorHAnsi"/>
          <w:b w:val="0"/>
          <w:color w:val="2E2763"/>
          <w:spacing w:val="-2"/>
          <w:sz w:val="24"/>
          <w:szCs w:val="24"/>
        </w:rPr>
        <w:t>(</w:t>
      </w:r>
      <w:r w:rsidR="00612E4E" w:rsidRPr="008F7BEE">
        <w:rPr>
          <w:rFonts w:asciiTheme="minorHAnsi" w:hAnsiTheme="minorHAnsi"/>
          <w:b w:val="0"/>
          <w:color w:val="2E2763"/>
          <w:spacing w:val="-2"/>
          <w:sz w:val="24"/>
          <w:szCs w:val="24"/>
        </w:rPr>
        <w:t>703</w:t>
      </w:r>
      <w:r w:rsidR="007E7F6E" w:rsidRPr="008F7BEE">
        <w:rPr>
          <w:rFonts w:asciiTheme="minorHAnsi" w:hAnsiTheme="minorHAnsi"/>
          <w:b w:val="0"/>
          <w:color w:val="2E2763"/>
          <w:spacing w:val="-2"/>
          <w:sz w:val="24"/>
          <w:szCs w:val="24"/>
        </w:rPr>
        <w:t xml:space="preserve">) </w:t>
      </w:r>
      <w:r w:rsidRPr="008F7BEE">
        <w:rPr>
          <w:rFonts w:asciiTheme="minorHAnsi" w:hAnsiTheme="minorHAnsi"/>
          <w:b w:val="0"/>
          <w:color w:val="2E2763"/>
          <w:spacing w:val="-2"/>
          <w:sz w:val="24"/>
          <w:szCs w:val="24"/>
        </w:rPr>
        <w:t>46</w:t>
      </w:r>
      <w:r w:rsidR="00612E4E" w:rsidRPr="008F7BEE">
        <w:rPr>
          <w:rFonts w:asciiTheme="minorHAnsi" w:hAnsiTheme="minorHAnsi"/>
          <w:b w:val="0"/>
          <w:color w:val="2E2763"/>
          <w:spacing w:val="-2"/>
          <w:sz w:val="24"/>
          <w:szCs w:val="24"/>
        </w:rPr>
        <w:t>5</w:t>
      </w:r>
      <w:r w:rsidRPr="008F7BEE">
        <w:rPr>
          <w:rFonts w:asciiTheme="minorHAnsi" w:hAnsiTheme="minorHAnsi"/>
          <w:b w:val="0"/>
          <w:color w:val="2E2763"/>
          <w:spacing w:val="-2"/>
          <w:sz w:val="24"/>
          <w:szCs w:val="24"/>
        </w:rPr>
        <w:t>-5085</w:t>
      </w:r>
    </w:p>
    <w:p w14:paraId="50CCC853" w14:textId="49BB5A15" w:rsidR="00053BF3" w:rsidRDefault="00D113DE" w:rsidP="00083473">
      <w:pPr>
        <w:spacing w:before="240" w:line="360" w:lineRule="auto"/>
        <w:rPr>
          <w:rFonts w:ascii="Arial Narrow" w:hAnsi="Arial Narrow"/>
          <w:b w:val="0"/>
          <w:sz w:val="22"/>
          <w:szCs w:val="22"/>
        </w:rPr>
      </w:pPr>
      <w:r>
        <w:rPr>
          <w:rFonts w:asciiTheme="minorHAnsi" w:hAnsiTheme="minorHAnsi" w:cs="Tahoma"/>
          <w:b w:val="0"/>
          <w:noProof/>
          <w:sz w:val="22"/>
          <w:szCs w:val="22"/>
        </w:rPr>
        <mc:AlternateContent>
          <mc:Choice Requires="wps">
            <w:drawing>
              <wp:anchor distT="0" distB="0" distL="114300" distR="114300" simplePos="0" relativeHeight="251659264" behindDoc="0" locked="0" layoutInCell="1" allowOverlap="1" wp14:anchorId="1C90738E" wp14:editId="6826F5F3">
                <wp:simplePos x="0" y="0"/>
                <wp:positionH relativeFrom="column">
                  <wp:posOffset>-17145</wp:posOffset>
                </wp:positionH>
                <wp:positionV relativeFrom="paragraph">
                  <wp:posOffset>151167</wp:posOffset>
                </wp:positionV>
                <wp:extent cx="6514278" cy="0"/>
                <wp:effectExtent l="0" t="25400" r="39370" b="25400"/>
                <wp:wrapNone/>
                <wp:docPr id="3" name="Straight Connector 3"/>
                <wp:cNvGraphicFramePr/>
                <a:graphic xmlns:a="http://schemas.openxmlformats.org/drawingml/2006/main">
                  <a:graphicData uri="http://schemas.microsoft.com/office/word/2010/wordprocessingShape">
                    <wps:wsp>
                      <wps:cNvCnPr/>
                      <wps:spPr>
                        <a:xfrm flipV="1">
                          <a:off x="0" y="0"/>
                          <a:ext cx="6514278" cy="0"/>
                        </a:xfrm>
                        <a:prstGeom prst="line">
                          <a:avLst/>
                        </a:prstGeom>
                        <a:ln w="38100">
                          <a:solidFill>
                            <a:srgbClr val="2E27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1F5A705"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1.9pt" to="511.6pt,1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" strokecolor="#2e2763" strokeweight="3pt"/>
            </w:pict>
          </mc:Fallback>
        </mc:AlternateContent>
      </w:r>
      <w:r w:rsidR="00276DE9">
        <w:rPr>
          <w:rFonts w:ascii="Arial Narrow" w:hAnsi="Arial Narrow"/>
          <w:b w:val="0"/>
          <w:sz w:val="22"/>
          <w:szCs w:val="22"/>
        </w:rPr>
        <w:softHyphen/>
      </w:r>
    </w:p>
    <w:p w14:paraId="724F0C12"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March 26, 2026</w:t>
      </w:r>
    </w:p>
    <w:p w14:paraId="5D8F1436" w14:textId="77777777" w:rsidR="00255169" w:rsidRPr="00255169" w:rsidRDefault="00255169" w:rsidP="00255169">
      <w:pPr>
        <w:rPr>
          <w:rFonts w:ascii="Georgia" w:eastAsia="Georgia" w:hAnsi="Georgia" w:cs="Georgia"/>
          <w:b w:val="0"/>
          <w:sz w:val="20"/>
          <w:szCs w:val="20"/>
          <w:lang w:val="en"/>
        </w:rPr>
      </w:pPr>
    </w:p>
    <w:p w14:paraId="55073741" w14:textId="77777777" w:rsidR="00255169" w:rsidRPr="00255169" w:rsidRDefault="00255169" w:rsidP="00255169">
      <w:pPr>
        <w:rPr>
          <w:rFonts w:ascii="Georgia" w:eastAsia="Georgia" w:hAnsi="Georgia" w:cs="Georgia"/>
          <w:b w:val="0"/>
          <w:sz w:val="20"/>
          <w:szCs w:val="20"/>
          <w:lang w:val="en"/>
        </w:rPr>
      </w:pPr>
    </w:p>
    <w:p w14:paraId="10DF9813"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The Honorable Senator Tim Scott</w:t>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t>The Honorable Senator Elizabeth Warren</w:t>
      </w:r>
    </w:p>
    <w:p w14:paraId="6CD9D41C"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Chairman</w:t>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t>Ranking Member</w:t>
      </w:r>
    </w:p>
    <w:p w14:paraId="7BAB33C0"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 xml:space="preserve">Senate Committee on Banking, Housing, </w:t>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t>Senate Committee on Banking, Housing,</w:t>
      </w:r>
    </w:p>
    <w:p w14:paraId="71ED3712"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 xml:space="preserve">  and Urban Affairs Committee</w:t>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proofErr w:type="gramStart"/>
      <w:r w:rsidRPr="00255169">
        <w:rPr>
          <w:rFonts w:ascii="Georgia" w:eastAsia="Georgia" w:hAnsi="Georgia" w:cs="Georgia"/>
          <w:b w:val="0"/>
          <w:sz w:val="20"/>
          <w:szCs w:val="20"/>
          <w:lang w:val="en"/>
        </w:rPr>
        <w:tab/>
        <w:t xml:space="preserve">  and</w:t>
      </w:r>
      <w:proofErr w:type="gramEnd"/>
      <w:r w:rsidRPr="00255169">
        <w:rPr>
          <w:rFonts w:ascii="Georgia" w:eastAsia="Georgia" w:hAnsi="Georgia" w:cs="Georgia"/>
          <w:b w:val="0"/>
          <w:sz w:val="20"/>
          <w:szCs w:val="20"/>
          <w:lang w:val="en"/>
        </w:rPr>
        <w:t xml:space="preserve"> Urban Affairs Committee</w:t>
      </w:r>
    </w:p>
    <w:p w14:paraId="3466A427"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534 Dirksen Senate Office Building</w:t>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t>534 Dirksen Senate Office Building</w:t>
      </w:r>
    </w:p>
    <w:p w14:paraId="60B43452"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Washington, DC 20510</w:t>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t>Washington, DC 20510</w:t>
      </w:r>
    </w:p>
    <w:p w14:paraId="7C482AEA" w14:textId="77777777" w:rsidR="00255169" w:rsidRPr="00255169" w:rsidRDefault="00255169" w:rsidP="00255169">
      <w:pPr>
        <w:rPr>
          <w:rFonts w:ascii="Georgia" w:eastAsia="Georgia" w:hAnsi="Georgia" w:cs="Georgia"/>
          <w:b w:val="0"/>
          <w:sz w:val="20"/>
          <w:szCs w:val="20"/>
          <w:lang w:val="en"/>
        </w:rPr>
      </w:pPr>
    </w:p>
    <w:p w14:paraId="77A3603F"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The Honorable Representative Sam Graves</w:t>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t>The Honorable Representative Rick Larsen</w:t>
      </w:r>
      <w:r w:rsidRPr="00255169">
        <w:rPr>
          <w:rFonts w:ascii="Georgia" w:eastAsia="Georgia" w:hAnsi="Georgia" w:cs="Georgia"/>
          <w:b w:val="0"/>
          <w:sz w:val="20"/>
          <w:szCs w:val="20"/>
          <w:lang w:val="en"/>
        </w:rPr>
        <w:tab/>
      </w:r>
    </w:p>
    <w:p w14:paraId="51B039DC"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Chairman</w:t>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t>Ranking Member</w:t>
      </w:r>
    </w:p>
    <w:p w14:paraId="70A89931"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Committee on Transportation &amp; Infrastructure</w:t>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t>Committee on Transportation &amp; Infrastructure</w:t>
      </w:r>
    </w:p>
    <w:p w14:paraId="0F09D8B3"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2165 Rayburn House Office Building</w:t>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t>592 Ford House Office Building</w:t>
      </w:r>
    </w:p>
    <w:p w14:paraId="07CB1416" w14:textId="77777777" w:rsidR="00255169" w:rsidRPr="00255169" w:rsidRDefault="00255169" w:rsidP="00255169">
      <w:pPr>
        <w:rPr>
          <w:rFonts w:ascii="Georgia" w:eastAsia="Georgia" w:hAnsi="Georgia" w:cs="Georgia"/>
          <w:b w:val="0"/>
          <w:sz w:val="20"/>
          <w:szCs w:val="20"/>
          <w:highlight w:val="yellow"/>
          <w:lang w:val="en"/>
        </w:rPr>
      </w:pPr>
      <w:r w:rsidRPr="00255169">
        <w:rPr>
          <w:rFonts w:ascii="Georgia" w:eastAsia="Georgia" w:hAnsi="Georgia" w:cs="Georgia"/>
          <w:b w:val="0"/>
          <w:sz w:val="20"/>
          <w:szCs w:val="20"/>
          <w:lang w:val="en"/>
        </w:rPr>
        <w:t>Washington, DC 20515</w:t>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r>
      <w:r w:rsidRPr="00255169">
        <w:rPr>
          <w:rFonts w:ascii="Georgia" w:eastAsia="Georgia" w:hAnsi="Georgia" w:cs="Georgia"/>
          <w:b w:val="0"/>
          <w:sz w:val="20"/>
          <w:szCs w:val="20"/>
          <w:lang w:val="en"/>
        </w:rPr>
        <w:tab/>
        <w:t>Washington, DC 20515</w:t>
      </w:r>
    </w:p>
    <w:p w14:paraId="14CE474B" w14:textId="77777777" w:rsidR="00255169" w:rsidRPr="00255169" w:rsidRDefault="00255169" w:rsidP="00255169">
      <w:pPr>
        <w:rPr>
          <w:rFonts w:ascii="Georgia" w:eastAsia="Georgia" w:hAnsi="Georgia" w:cs="Georgia"/>
          <w:b w:val="0"/>
          <w:sz w:val="20"/>
          <w:szCs w:val="20"/>
          <w:lang w:val="en"/>
        </w:rPr>
      </w:pPr>
    </w:p>
    <w:p w14:paraId="4891BDAB" w14:textId="77777777" w:rsidR="00255169" w:rsidRPr="00255169" w:rsidRDefault="00255169" w:rsidP="00255169">
      <w:pPr>
        <w:rPr>
          <w:rFonts w:ascii="Georgia" w:eastAsia="Georgia" w:hAnsi="Georgia" w:cs="Georgia"/>
          <w:bCs/>
          <w:sz w:val="20"/>
          <w:szCs w:val="20"/>
          <w:lang w:val="en"/>
        </w:rPr>
      </w:pPr>
      <w:r w:rsidRPr="00255169">
        <w:rPr>
          <w:rFonts w:ascii="Georgia" w:eastAsia="Georgia" w:hAnsi="Georgia" w:cs="Georgia"/>
          <w:bCs/>
          <w:sz w:val="20"/>
          <w:szCs w:val="20"/>
          <w:lang w:val="en"/>
        </w:rPr>
        <w:t>RE: American Council of the Blind (ACB) Support for the Same-Day Paratransit Innovation Act</w:t>
      </w:r>
    </w:p>
    <w:p w14:paraId="1A263685" w14:textId="77777777" w:rsidR="00255169" w:rsidRPr="00255169" w:rsidRDefault="00255169" w:rsidP="00255169">
      <w:pPr>
        <w:rPr>
          <w:rFonts w:ascii="Georgia" w:eastAsia="Georgia" w:hAnsi="Georgia" w:cs="Georgia"/>
          <w:b w:val="0"/>
          <w:sz w:val="20"/>
          <w:szCs w:val="20"/>
          <w:lang w:val="en"/>
        </w:rPr>
      </w:pPr>
    </w:p>
    <w:p w14:paraId="47064749" w14:textId="2D5346B6"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Dear Chair Scott, Chair Graves, Ranking Member Warren, and Ranking Member Larsen</w:t>
      </w:r>
      <w:r>
        <w:rPr>
          <w:rFonts w:ascii="Georgia" w:eastAsia="Georgia" w:hAnsi="Georgia" w:cs="Georgia"/>
          <w:b w:val="0"/>
          <w:sz w:val="20"/>
          <w:szCs w:val="20"/>
          <w:lang w:val="en"/>
        </w:rPr>
        <w:t>:</w:t>
      </w:r>
    </w:p>
    <w:p w14:paraId="56E9937C" w14:textId="77777777" w:rsidR="00255169" w:rsidRPr="00255169" w:rsidRDefault="00255169" w:rsidP="00255169">
      <w:pPr>
        <w:rPr>
          <w:rFonts w:ascii="Georgia" w:eastAsia="Georgia" w:hAnsi="Georgia" w:cs="Georgia"/>
          <w:b w:val="0"/>
          <w:sz w:val="20"/>
          <w:szCs w:val="20"/>
          <w:lang w:val="en"/>
        </w:rPr>
      </w:pPr>
    </w:p>
    <w:p w14:paraId="59CBDF53"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 xml:space="preserve">The American Council of the Blind, with over 8,000 members and 65 affiliates, writes to express our strong support for the Same-Day Paratransit Innovation Act and urge that it be included in the Surface Transportation Reauthorization bill. This important legislation addresses critical barriers to independence, employment, and full community participation for the approximately 7 million Americans with vision impairment and, more broadly, 18.6 million Americans, including veterans and seniors, with travel-limiting disabilities who rely on paratransit to reach essential destinations like jobs, schools, medical appointments, pharmacies, and grocery stores. </w:t>
      </w:r>
    </w:p>
    <w:p w14:paraId="7D4366D7" w14:textId="77777777" w:rsidR="00255169" w:rsidRPr="00255169" w:rsidRDefault="00255169" w:rsidP="00255169">
      <w:pPr>
        <w:rPr>
          <w:rFonts w:ascii="Georgia" w:eastAsia="Georgia" w:hAnsi="Georgia" w:cs="Georgia"/>
          <w:b w:val="0"/>
          <w:sz w:val="20"/>
          <w:szCs w:val="20"/>
          <w:lang w:val="en"/>
        </w:rPr>
      </w:pPr>
    </w:p>
    <w:p w14:paraId="1DCD3155"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 xml:space="preserve">Despite this, current regulations under the Americans with Disabilities Act (ADA) only require agencies to provide paratransit service that offers trip scheduling at least 24 hours in advance, forcing riders to predict their health needs, work schedules, and other responsibilities at least a day ahead, effectively leaving us unable to respond to urgent issues and changing schedules such as a same-day doctor’s appointment or last-minute changes in work shifts.  This inflexibility is about more than just inconvenience, it has tangible impacts on riders with disabilities’ health as missed rides mean missed medical appointments, medication pick-ups, missed care, and overall barriers to independence and remaining active members of our communities.  </w:t>
      </w:r>
    </w:p>
    <w:p w14:paraId="63EA3AA8" w14:textId="77777777" w:rsidR="00255169" w:rsidRPr="00255169" w:rsidRDefault="00255169" w:rsidP="00255169">
      <w:pPr>
        <w:rPr>
          <w:rFonts w:ascii="Georgia" w:eastAsia="Georgia" w:hAnsi="Georgia" w:cs="Georgia"/>
          <w:b w:val="0"/>
          <w:sz w:val="20"/>
          <w:szCs w:val="20"/>
          <w:lang w:val="en"/>
        </w:rPr>
      </w:pPr>
    </w:p>
    <w:p w14:paraId="2BD92263"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 xml:space="preserve">There is a better way: same-day paratransit. Modern technology exists to enable dynamic trip matching, real-time route optimization, and API-enabled multiple fleet integration, all of which facilitate same-day service and create efficiencies that help reduce per-trip costs even as the number of trips increase. As more and more transit agencies across the nation have considered offering same-day service, the Federal Transit Administration recognized the opportunity that this model presents in a </w:t>
      </w:r>
      <w:hyperlink r:id="rId9">
        <w:r w:rsidRPr="00255169">
          <w:rPr>
            <w:rFonts w:ascii="Georgia" w:eastAsia="Georgia" w:hAnsi="Georgia" w:cs="Georgia"/>
            <w:b w:val="0"/>
            <w:color w:val="1155CC"/>
            <w:sz w:val="20"/>
            <w:szCs w:val="20"/>
            <w:u w:val="single"/>
            <w:lang w:val="en"/>
          </w:rPr>
          <w:t>2023 Dear Colleague letter</w:t>
        </w:r>
      </w:hyperlink>
      <w:r w:rsidRPr="00255169">
        <w:rPr>
          <w:rFonts w:ascii="Georgia" w:eastAsia="Georgia" w:hAnsi="Georgia" w:cs="Georgia"/>
          <w:b w:val="0"/>
          <w:sz w:val="20"/>
          <w:szCs w:val="20"/>
          <w:lang w:val="en"/>
        </w:rPr>
        <w:t>.</w:t>
      </w:r>
    </w:p>
    <w:p w14:paraId="44090442" w14:textId="77777777" w:rsidR="00255169" w:rsidRPr="00255169" w:rsidRDefault="00255169" w:rsidP="00255169">
      <w:pPr>
        <w:pBdr>
          <w:top w:val="nil"/>
          <w:left w:val="nil"/>
          <w:bottom w:val="nil"/>
          <w:right w:val="nil"/>
          <w:between w:val="nil"/>
        </w:pBdr>
        <w:spacing w:before="240" w:after="220"/>
        <w:rPr>
          <w:rFonts w:ascii="Georgia" w:eastAsia="Georgia" w:hAnsi="Georgia" w:cs="Georgia"/>
          <w:b w:val="0"/>
          <w:sz w:val="20"/>
          <w:szCs w:val="20"/>
          <w:lang w:val="en"/>
        </w:rPr>
      </w:pPr>
      <w:r w:rsidRPr="00255169">
        <w:rPr>
          <w:rFonts w:ascii="Georgia" w:eastAsia="Georgia" w:hAnsi="Georgia" w:cs="Georgia"/>
          <w:b w:val="0"/>
          <w:sz w:val="20"/>
          <w:szCs w:val="20"/>
          <w:lang w:val="en"/>
        </w:rPr>
        <w:t>The Same-Day Paratransit Innovation Act encourages transit agencies to adopt modern technologies by providing partial relief for local cost share matching funds and flexibility in using federal operations funding for same-day services, removing financial hurdles. It would set minimum technology standards for accessibility, cybersecurity, and data interoperability, protecting transit agencies' data ownership and rider privacy, all informed by collaboration with paratransit riders, disability rights groups, the U.S. Access Board, and other stakeholders in developing these standards, ensuring rider input.</w:t>
      </w:r>
    </w:p>
    <w:p w14:paraId="28F53F14"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Thank you for your consideration and your continued commitment to advancing transportation access for all Americans, including blind and visually impaired riders.  The Same-Day Paratransit Innovation Act encourages a solution that raises standards for riders while maintaining fiscal responsibility. We urge your Committees to include this critical legislation to advance transportation innovation and improve accessibility as part of the upcoming Surface Transportation Reauthorization.</w:t>
      </w:r>
    </w:p>
    <w:p w14:paraId="6381B9B5" w14:textId="77777777" w:rsidR="00255169" w:rsidRPr="00255169" w:rsidRDefault="00255169" w:rsidP="00255169">
      <w:pPr>
        <w:rPr>
          <w:rFonts w:ascii="Georgia" w:eastAsia="Georgia" w:hAnsi="Georgia" w:cs="Georgia"/>
          <w:b w:val="0"/>
          <w:sz w:val="20"/>
          <w:szCs w:val="20"/>
          <w:lang w:val="en"/>
        </w:rPr>
      </w:pPr>
    </w:p>
    <w:p w14:paraId="02BE2D9F" w14:textId="77777777" w:rsidR="00255169" w:rsidRPr="00255169" w:rsidRDefault="00255169" w:rsidP="00255169">
      <w:pPr>
        <w:rPr>
          <w:rFonts w:ascii="Georgia" w:eastAsia="Georgia" w:hAnsi="Georgia" w:cs="Georgia"/>
          <w:b w:val="0"/>
          <w:sz w:val="20"/>
          <w:szCs w:val="20"/>
          <w:lang w:val="en"/>
        </w:rPr>
      </w:pPr>
    </w:p>
    <w:p w14:paraId="54E8F092" w14:textId="77777777" w:rsidR="00255169" w:rsidRPr="00255169" w:rsidRDefault="00255169" w:rsidP="00255169">
      <w:pPr>
        <w:rPr>
          <w:rFonts w:ascii="Georgia" w:eastAsia="Georgia" w:hAnsi="Georgia" w:cs="Georgia"/>
          <w:b w:val="0"/>
          <w:sz w:val="20"/>
          <w:szCs w:val="20"/>
          <w:lang w:val="en"/>
        </w:rPr>
      </w:pPr>
    </w:p>
    <w:p w14:paraId="0761F9A5" w14:textId="77777777" w:rsidR="00255169" w:rsidRPr="00255169" w:rsidRDefault="00255169" w:rsidP="00255169">
      <w:pPr>
        <w:rPr>
          <w:rFonts w:ascii="Georgia" w:eastAsia="Georgia" w:hAnsi="Georgia" w:cs="Georgia"/>
          <w:b w:val="0"/>
          <w:sz w:val="20"/>
          <w:szCs w:val="20"/>
          <w:lang w:val="en"/>
        </w:rPr>
      </w:pPr>
    </w:p>
    <w:p w14:paraId="54B2E8EF"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Respectfully submitted,</w:t>
      </w:r>
    </w:p>
    <w:p w14:paraId="6E9F094A" w14:textId="77777777" w:rsidR="00255169" w:rsidRPr="00255169" w:rsidRDefault="00255169" w:rsidP="00255169">
      <w:pPr>
        <w:rPr>
          <w:rFonts w:ascii="Georgia" w:eastAsia="Georgia" w:hAnsi="Georgia" w:cs="Georgia"/>
          <w:b w:val="0"/>
          <w:sz w:val="20"/>
          <w:szCs w:val="20"/>
          <w:lang w:val="en"/>
        </w:rPr>
      </w:pPr>
    </w:p>
    <w:p w14:paraId="256EFDD8" w14:textId="44543874" w:rsidR="00255169" w:rsidRDefault="00255169" w:rsidP="00255169">
      <w:pPr>
        <w:rPr>
          <w:rFonts w:ascii="Georgia" w:eastAsia="Georgia" w:hAnsi="Georgia" w:cs="Georgia"/>
          <w:b w:val="0"/>
          <w:sz w:val="20"/>
          <w:szCs w:val="20"/>
          <w:lang w:val="en"/>
        </w:rPr>
      </w:pPr>
      <w:r>
        <w:rPr>
          <w:rFonts w:ascii="Georgia" w:eastAsia="Georgia" w:hAnsi="Georgia" w:cs="Georgia"/>
          <w:b w:val="0"/>
          <w:noProof/>
          <w:sz w:val="20"/>
          <w:szCs w:val="20"/>
          <w:lang w:val="en"/>
        </w:rPr>
        <w:drawing>
          <wp:inline distT="0" distB="0" distL="0" distR="0" wp14:anchorId="6E06A416" wp14:editId="6ECC6F62">
            <wp:extent cx="3115558" cy="766998"/>
            <wp:effectExtent l="0" t="0" r="0" b="0"/>
            <wp:docPr id="1225965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965677" name="Picture 12259656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1374" cy="778277"/>
                    </a:xfrm>
                    <a:prstGeom prst="rect">
                      <a:avLst/>
                    </a:prstGeom>
                  </pic:spPr>
                </pic:pic>
              </a:graphicData>
            </a:graphic>
          </wp:inline>
        </w:drawing>
      </w:r>
    </w:p>
    <w:p w14:paraId="0B016629" w14:textId="26083DDF" w:rsidR="00255169" w:rsidRDefault="00255169" w:rsidP="00255169">
      <w:pPr>
        <w:rPr>
          <w:rFonts w:ascii="Georgia" w:eastAsia="Georgia" w:hAnsi="Georgia" w:cs="Georgia"/>
          <w:b w:val="0"/>
          <w:sz w:val="20"/>
          <w:szCs w:val="20"/>
          <w:lang w:val="en"/>
        </w:rPr>
      </w:pPr>
      <w:r>
        <w:rPr>
          <w:rFonts w:ascii="Georgia" w:eastAsia="Georgia" w:hAnsi="Georgia" w:cs="Georgia"/>
          <w:b w:val="0"/>
          <w:sz w:val="20"/>
          <w:szCs w:val="20"/>
          <w:lang w:val="en"/>
        </w:rPr>
        <w:t>Claire Stanley</w:t>
      </w:r>
    </w:p>
    <w:p w14:paraId="49032A81" w14:textId="18FB2501" w:rsidR="00255169" w:rsidRPr="00255169" w:rsidRDefault="00255169" w:rsidP="00255169">
      <w:pPr>
        <w:rPr>
          <w:rFonts w:ascii="Georgia" w:eastAsia="Georgia" w:hAnsi="Georgia" w:cs="Georgia"/>
          <w:b w:val="0"/>
          <w:sz w:val="20"/>
          <w:szCs w:val="20"/>
          <w:lang w:val="en"/>
        </w:rPr>
      </w:pPr>
      <w:r>
        <w:rPr>
          <w:rFonts w:ascii="Georgia" w:eastAsia="Georgia" w:hAnsi="Georgia" w:cs="Georgia"/>
          <w:b w:val="0"/>
          <w:sz w:val="20"/>
          <w:szCs w:val="20"/>
          <w:lang w:val="en"/>
        </w:rPr>
        <w:t>Director of Advocacy and Governmental Affairs</w:t>
      </w:r>
    </w:p>
    <w:p w14:paraId="4FB8E313" w14:textId="77777777" w:rsidR="00255169" w:rsidRPr="00255169" w:rsidRDefault="00255169" w:rsidP="00255169">
      <w:pPr>
        <w:rPr>
          <w:rFonts w:ascii="Georgia" w:eastAsia="Georgia" w:hAnsi="Georgia" w:cs="Georgia"/>
          <w:b w:val="0"/>
          <w:sz w:val="20"/>
          <w:szCs w:val="20"/>
          <w:lang w:val="en"/>
        </w:rPr>
      </w:pPr>
      <w:r w:rsidRPr="00255169">
        <w:rPr>
          <w:rFonts w:ascii="Georgia" w:eastAsia="Georgia" w:hAnsi="Georgia" w:cs="Georgia"/>
          <w:b w:val="0"/>
          <w:sz w:val="20"/>
          <w:szCs w:val="20"/>
          <w:lang w:val="en"/>
        </w:rPr>
        <w:t>American Council of the Blind</w:t>
      </w:r>
    </w:p>
    <w:p w14:paraId="59AF04F3" w14:textId="77777777" w:rsidR="00B155C5" w:rsidRPr="00B155C5" w:rsidRDefault="00B155C5" w:rsidP="00B155C5">
      <w:pPr>
        <w:rPr>
          <w:rFonts w:cs="Arial"/>
          <w:b w:val="0"/>
        </w:rPr>
      </w:pPr>
    </w:p>
    <w:sectPr w:rsidR="00B155C5" w:rsidRPr="00B155C5" w:rsidSect="00EC7C13">
      <w:pgSz w:w="12240" w:h="15840" w:code="1"/>
      <w:pgMar w:top="801" w:right="1008"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B283" w14:textId="77777777" w:rsidR="00344CC7" w:rsidRDefault="00344CC7" w:rsidP="00825317">
      <w:r>
        <w:separator/>
      </w:r>
    </w:p>
  </w:endnote>
  <w:endnote w:type="continuationSeparator" w:id="0">
    <w:p w14:paraId="237E5A1C" w14:textId="77777777" w:rsidR="00344CC7" w:rsidRDefault="00344CC7" w:rsidP="00825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57B3" w14:textId="77777777" w:rsidR="00344CC7" w:rsidRDefault="00344CC7" w:rsidP="00825317">
      <w:r>
        <w:separator/>
      </w:r>
    </w:p>
  </w:footnote>
  <w:footnote w:type="continuationSeparator" w:id="0">
    <w:p w14:paraId="72790BCB" w14:textId="77777777" w:rsidR="00344CC7" w:rsidRDefault="00344CC7" w:rsidP="00825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780"/>
    <w:multiLevelType w:val="hybridMultilevel"/>
    <w:tmpl w:val="282C8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6793"/>
    <w:multiLevelType w:val="multilevel"/>
    <w:tmpl w:val="36DE44F6"/>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BB5C32"/>
    <w:multiLevelType w:val="hybridMultilevel"/>
    <w:tmpl w:val="F99208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B1E2C78"/>
    <w:multiLevelType w:val="multilevel"/>
    <w:tmpl w:val="48E84C9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F76E52"/>
    <w:multiLevelType w:val="multilevel"/>
    <w:tmpl w:val="F3CEE5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A223F56"/>
    <w:multiLevelType w:val="hybridMultilevel"/>
    <w:tmpl w:val="FF30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0A5D4C"/>
    <w:multiLevelType w:val="hybridMultilevel"/>
    <w:tmpl w:val="50460EAC"/>
    <w:lvl w:ilvl="0" w:tplc="F3769FA2">
      <w:start w:val="1"/>
      <w:numFmt w:val="bullet"/>
      <w:lvlText w:val=""/>
      <w:lvlJc w:val="left"/>
      <w:pPr>
        <w:tabs>
          <w:tab w:val="num" w:pos="720"/>
        </w:tabs>
        <w:ind w:left="720" w:hanging="360"/>
      </w:pPr>
      <w:rPr>
        <w:rFonts w:ascii="Symbol" w:hAnsi="Symbol" w:hint="default"/>
        <w:color w:val="auto"/>
      </w:rPr>
    </w:lvl>
    <w:lvl w:ilvl="1" w:tplc="3CBA1712">
      <w:start w:val="1"/>
      <w:numFmt w:val="bullet"/>
      <w:lvlRestart w:val="0"/>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A5AB1"/>
    <w:multiLevelType w:val="hybridMultilevel"/>
    <w:tmpl w:val="DE7C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049DD"/>
    <w:multiLevelType w:val="multilevel"/>
    <w:tmpl w:val="7E82D666"/>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F1228D"/>
    <w:multiLevelType w:val="hybridMultilevel"/>
    <w:tmpl w:val="27EAA5AE"/>
    <w:lvl w:ilvl="0" w:tplc="07CA3A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14F53"/>
    <w:multiLevelType w:val="multilevel"/>
    <w:tmpl w:val="6262E37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AC3156A"/>
    <w:multiLevelType w:val="hybridMultilevel"/>
    <w:tmpl w:val="A81CAB06"/>
    <w:lvl w:ilvl="0" w:tplc="5BBCA894">
      <w:start w:val="1"/>
      <w:numFmt w:val="bullet"/>
      <w:lvlRestart w:val="0"/>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4D3662"/>
    <w:multiLevelType w:val="multilevel"/>
    <w:tmpl w:val="086ED7E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59950D8"/>
    <w:multiLevelType w:val="multilevel"/>
    <w:tmpl w:val="4E3817F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2074046">
    <w:abstractNumId w:val="2"/>
  </w:num>
  <w:num w:numId="2" w16cid:durableId="2032141768">
    <w:abstractNumId w:val="6"/>
  </w:num>
  <w:num w:numId="3" w16cid:durableId="813373328">
    <w:abstractNumId w:val="11"/>
  </w:num>
  <w:num w:numId="4" w16cid:durableId="473717001">
    <w:abstractNumId w:val="12"/>
  </w:num>
  <w:num w:numId="5" w16cid:durableId="910694150">
    <w:abstractNumId w:val="8"/>
  </w:num>
  <w:num w:numId="6" w16cid:durableId="546648753">
    <w:abstractNumId w:val="13"/>
  </w:num>
  <w:num w:numId="7" w16cid:durableId="1940139609">
    <w:abstractNumId w:val="4"/>
  </w:num>
  <w:num w:numId="8" w16cid:durableId="1040281040">
    <w:abstractNumId w:val="3"/>
  </w:num>
  <w:num w:numId="9" w16cid:durableId="481042724">
    <w:abstractNumId w:val="10"/>
  </w:num>
  <w:num w:numId="10" w16cid:durableId="304239198">
    <w:abstractNumId w:val="7"/>
  </w:num>
  <w:num w:numId="11" w16cid:durableId="1152454237">
    <w:abstractNumId w:val="9"/>
  </w:num>
  <w:num w:numId="12" w16cid:durableId="1835757365">
    <w:abstractNumId w:val="1"/>
  </w:num>
  <w:num w:numId="13" w16cid:durableId="713578256">
    <w:abstractNumId w:val="5"/>
  </w:num>
  <w:num w:numId="14" w16cid:durableId="111983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82A"/>
    <w:rsid w:val="000418F2"/>
    <w:rsid w:val="00053BF3"/>
    <w:rsid w:val="00056E09"/>
    <w:rsid w:val="0007323A"/>
    <w:rsid w:val="000738CA"/>
    <w:rsid w:val="00083473"/>
    <w:rsid w:val="000929D6"/>
    <w:rsid w:val="000B203B"/>
    <w:rsid w:val="000C743B"/>
    <w:rsid w:val="00104A5A"/>
    <w:rsid w:val="00160B7A"/>
    <w:rsid w:val="001611DD"/>
    <w:rsid w:val="0017781D"/>
    <w:rsid w:val="001B251E"/>
    <w:rsid w:val="001B4E51"/>
    <w:rsid w:val="001E561E"/>
    <w:rsid w:val="00201833"/>
    <w:rsid w:val="00203AE3"/>
    <w:rsid w:val="00222E87"/>
    <w:rsid w:val="0023518A"/>
    <w:rsid w:val="00245D31"/>
    <w:rsid w:val="00255169"/>
    <w:rsid w:val="00271FE9"/>
    <w:rsid w:val="00276DE9"/>
    <w:rsid w:val="00297DF0"/>
    <w:rsid w:val="002D3E0E"/>
    <w:rsid w:val="00300AF8"/>
    <w:rsid w:val="00307B0D"/>
    <w:rsid w:val="00314A63"/>
    <w:rsid w:val="00335ABF"/>
    <w:rsid w:val="003371A2"/>
    <w:rsid w:val="00341B1B"/>
    <w:rsid w:val="00344CC7"/>
    <w:rsid w:val="00356462"/>
    <w:rsid w:val="0037524B"/>
    <w:rsid w:val="0038194F"/>
    <w:rsid w:val="00432313"/>
    <w:rsid w:val="004827BC"/>
    <w:rsid w:val="004859D9"/>
    <w:rsid w:val="0048703C"/>
    <w:rsid w:val="004B0C43"/>
    <w:rsid w:val="004F5AF0"/>
    <w:rsid w:val="0054242A"/>
    <w:rsid w:val="00553663"/>
    <w:rsid w:val="0058312C"/>
    <w:rsid w:val="00584435"/>
    <w:rsid w:val="00587D6A"/>
    <w:rsid w:val="005901FA"/>
    <w:rsid w:val="005C3262"/>
    <w:rsid w:val="006052E1"/>
    <w:rsid w:val="00612E4E"/>
    <w:rsid w:val="00664D20"/>
    <w:rsid w:val="00685443"/>
    <w:rsid w:val="006B7C03"/>
    <w:rsid w:val="007139FA"/>
    <w:rsid w:val="00750CB6"/>
    <w:rsid w:val="00780681"/>
    <w:rsid w:val="00792A74"/>
    <w:rsid w:val="007B38EB"/>
    <w:rsid w:val="007D7CFB"/>
    <w:rsid w:val="007E7F6E"/>
    <w:rsid w:val="00825317"/>
    <w:rsid w:val="00832314"/>
    <w:rsid w:val="00874C85"/>
    <w:rsid w:val="008D13EC"/>
    <w:rsid w:val="008D3DD6"/>
    <w:rsid w:val="008E3887"/>
    <w:rsid w:val="008F178B"/>
    <w:rsid w:val="008F3DB9"/>
    <w:rsid w:val="008F7BEE"/>
    <w:rsid w:val="008F7D0F"/>
    <w:rsid w:val="00905FE4"/>
    <w:rsid w:val="00921137"/>
    <w:rsid w:val="00950D41"/>
    <w:rsid w:val="009524CA"/>
    <w:rsid w:val="00955825"/>
    <w:rsid w:val="009A7FCC"/>
    <w:rsid w:val="009C0098"/>
    <w:rsid w:val="009D5500"/>
    <w:rsid w:val="009F5F1C"/>
    <w:rsid w:val="00A10805"/>
    <w:rsid w:val="00A503A0"/>
    <w:rsid w:val="00A62E26"/>
    <w:rsid w:val="00AB18C6"/>
    <w:rsid w:val="00AB4D9A"/>
    <w:rsid w:val="00AE4302"/>
    <w:rsid w:val="00B0390C"/>
    <w:rsid w:val="00B155C5"/>
    <w:rsid w:val="00B40601"/>
    <w:rsid w:val="00B77CE5"/>
    <w:rsid w:val="00C1383D"/>
    <w:rsid w:val="00C84B06"/>
    <w:rsid w:val="00C9722C"/>
    <w:rsid w:val="00CB752A"/>
    <w:rsid w:val="00D113DE"/>
    <w:rsid w:val="00D33F5A"/>
    <w:rsid w:val="00D346B0"/>
    <w:rsid w:val="00D4279A"/>
    <w:rsid w:val="00D4374C"/>
    <w:rsid w:val="00D4692E"/>
    <w:rsid w:val="00D623EB"/>
    <w:rsid w:val="00D753B8"/>
    <w:rsid w:val="00D813C5"/>
    <w:rsid w:val="00DD0FC3"/>
    <w:rsid w:val="00E15B6D"/>
    <w:rsid w:val="00E25664"/>
    <w:rsid w:val="00E43D84"/>
    <w:rsid w:val="00EA1A64"/>
    <w:rsid w:val="00EA3644"/>
    <w:rsid w:val="00EA67E6"/>
    <w:rsid w:val="00EC7C13"/>
    <w:rsid w:val="00F0282A"/>
    <w:rsid w:val="00F14E73"/>
    <w:rsid w:val="00F36FAD"/>
    <w:rsid w:val="00F468D2"/>
    <w:rsid w:val="00F53AC8"/>
    <w:rsid w:val="00F93C7C"/>
    <w:rsid w:val="00FD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5B0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64D20"/>
    <w:rPr>
      <w:rFonts w:ascii="Arial" w:hAnsi="Arial"/>
      <w:b/>
      <w:sz w:val="28"/>
      <w:szCs w:val="28"/>
    </w:rPr>
  </w:style>
  <w:style w:type="paragraph" w:styleId="Heading1">
    <w:name w:val="heading 1"/>
    <w:basedOn w:val="Normal"/>
    <w:next w:val="Normal"/>
    <w:link w:val="Heading1Char"/>
    <w:uiPriority w:val="9"/>
    <w:qFormat/>
    <w:rsid w:val="005536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738CA"/>
    <w:pPr>
      <w:keepNext/>
      <w:keepLines/>
      <w:spacing w:before="40"/>
      <w:outlineLvl w:val="1"/>
    </w:pPr>
    <w:rPr>
      <w:rFonts w:eastAsiaTheme="majorEastAsia" w:cstheme="majorBidi"/>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CB6"/>
    <w:rPr>
      <w:rFonts w:ascii="Tahoma" w:hAnsi="Tahoma" w:cs="Tahoma"/>
      <w:sz w:val="16"/>
      <w:szCs w:val="16"/>
    </w:rPr>
  </w:style>
  <w:style w:type="character" w:customStyle="1" w:styleId="BalloonTextChar">
    <w:name w:val="Balloon Text Char"/>
    <w:basedOn w:val="DefaultParagraphFont"/>
    <w:link w:val="BalloonText"/>
    <w:uiPriority w:val="99"/>
    <w:semiHidden/>
    <w:rsid w:val="00750CB6"/>
    <w:rPr>
      <w:rFonts w:ascii="Tahoma" w:hAnsi="Tahoma" w:cs="Tahoma"/>
      <w:b/>
      <w:sz w:val="16"/>
      <w:szCs w:val="16"/>
    </w:rPr>
  </w:style>
  <w:style w:type="paragraph" w:styleId="Header">
    <w:name w:val="header"/>
    <w:basedOn w:val="Normal"/>
    <w:link w:val="HeaderChar"/>
    <w:uiPriority w:val="99"/>
    <w:unhideWhenUsed/>
    <w:rsid w:val="00825317"/>
    <w:pPr>
      <w:tabs>
        <w:tab w:val="center" w:pos="4680"/>
        <w:tab w:val="right" w:pos="9360"/>
      </w:tabs>
    </w:pPr>
  </w:style>
  <w:style w:type="character" w:customStyle="1" w:styleId="HeaderChar">
    <w:name w:val="Header Char"/>
    <w:basedOn w:val="DefaultParagraphFont"/>
    <w:link w:val="Header"/>
    <w:uiPriority w:val="99"/>
    <w:rsid w:val="00825317"/>
    <w:rPr>
      <w:rFonts w:ascii="Arial" w:hAnsi="Arial"/>
      <w:b/>
      <w:sz w:val="28"/>
      <w:szCs w:val="28"/>
    </w:rPr>
  </w:style>
  <w:style w:type="paragraph" w:styleId="Footer">
    <w:name w:val="footer"/>
    <w:basedOn w:val="Normal"/>
    <w:link w:val="FooterChar"/>
    <w:uiPriority w:val="99"/>
    <w:unhideWhenUsed/>
    <w:rsid w:val="00825317"/>
    <w:pPr>
      <w:tabs>
        <w:tab w:val="center" w:pos="4680"/>
        <w:tab w:val="right" w:pos="9360"/>
      </w:tabs>
    </w:pPr>
  </w:style>
  <w:style w:type="character" w:customStyle="1" w:styleId="FooterChar">
    <w:name w:val="Footer Char"/>
    <w:basedOn w:val="DefaultParagraphFont"/>
    <w:link w:val="Footer"/>
    <w:uiPriority w:val="99"/>
    <w:rsid w:val="00825317"/>
    <w:rPr>
      <w:rFonts w:ascii="Arial" w:hAnsi="Arial"/>
      <w:b/>
      <w:sz w:val="28"/>
      <w:szCs w:val="28"/>
    </w:rPr>
  </w:style>
  <w:style w:type="paragraph" w:styleId="ListParagraph">
    <w:name w:val="List Paragraph"/>
    <w:basedOn w:val="Normal"/>
    <w:uiPriority w:val="34"/>
    <w:qFormat/>
    <w:rsid w:val="00300AF8"/>
    <w:pPr>
      <w:ind w:left="720"/>
      <w:contextualSpacing/>
    </w:pPr>
  </w:style>
  <w:style w:type="paragraph" w:styleId="BodyText">
    <w:name w:val="Body Text"/>
    <w:aliases w:val="b-Body Text"/>
    <w:basedOn w:val="Normal"/>
    <w:link w:val="BodyTextChar"/>
    <w:qFormat/>
    <w:rsid w:val="00053BF3"/>
    <w:pPr>
      <w:spacing w:after="240"/>
      <w:ind w:firstLine="1440"/>
    </w:pPr>
    <w:rPr>
      <w:rFonts w:ascii="Times New Roman" w:hAnsi="Times New Roman"/>
      <w:b w:val="0"/>
      <w:sz w:val="24"/>
      <w:szCs w:val="24"/>
      <w:lang w:eastAsia="zh-CN"/>
    </w:rPr>
  </w:style>
  <w:style w:type="character" w:customStyle="1" w:styleId="BodyTextChar">
    <w:name w:val="Body Text Char"/>
    <w:aliases w:val="b-Body Text Char"/>
    <w:basedOn w:val="DefaultParagraphFont"/>
    <w:link w:val="BodyText"/>
    <w:rsid w:val="00053BF3"/>
    <w:rPr>
      <w:sz w:val="24"/>
      <w:szCs w:val="24"/>
      <w:lang w:eastAsia="zh-CN"/>
    </w:rPr>
  </w:style>
  <w:style w:type="paragraph" w:styleId="FootnoteText">
    <w:name w:val="footnote text"/>
    <w:basedOn w:val="Normal"/>
    <w:link w:val="FootnoteTextChar"/>
    <w:semiHidden/>
    <w:rsid w:val="00053BF3"/>
    <w:pPr>
      <w:spacing w:after="240"/>
      <w:ind w:left="720" w:hanging="720"/>
    </w:pPr>
    <w:rPr>
      <w:rFonts w:ascii="Times New Roman" w:hAnsi="Times New Roman"/>
      <w:b w:val="0"/>
      <w:sz w:val="20"/>
      <w:szCs w:val="20"/>
      <w:lang w:eastAsia="zh-CN"/>
    </w:rPr>
  </w:style>
  <w:style w:type="character" w:customStyle="1" w:styleId="FootnoteTextChar">
    <w:name w:val="Footnote Text Char"/>
    <w:basedOn w:val="DefaultParagraphFont"/>
    <w:link w:val="FootnoteText"/>
    <w:semiHidden/>
    <w:rsid w:val="00053BF3"/>
    <w:rPr>
      <w:lang w:eastAsia="zh-CN"/>
    </w:rPr>
  </w:style>
  <w:style w:type="character" w:styleId="FootnoteReference">
    <w:name w:val="footnote reference"/>
    <w:basedOn w:val="DefaultParagraphFont"/>
    <w:uiPriority w:val="99"/>
    <w:semiHidden/>
    <w:unhideWhenUsed/>
    <w:rsid w:val="00053BF3"/>
    <w:rPr>
      <w:vertAlign w:val="superscript"/>
    </w:rPr>
  </w:style>
  <w:style w:type="character" w:styleId="Hyperlink">
    <w:name w:val="Hyperlink"/>
    <w:basedOn w:val="DefaultParagraphFont"/>
    <w:uiPriority w:val="99"/>
    <w:unhideWhenUsed/>
    <w:rsid w:val="00053BF3"/>
    <w:rPr>
      <w:color w:val="0000FF" w:themeColor="hyperlink"/>
      <w:u w:val="single"/>
    </w:rPr>
  </w:style>
  <w:style w:type="paragraph" w:customStyle="1" w:styleId="Normal1">
    <w:name w:val="Normal1"/>
    <w:basedOn w:val="Normal"/>
    <w:rsid w:val="00053BF3"/>
    <w:pPr>
      <w:spacing w:line="276" w:lineRule="auto"/>
    </w:pPr>
    <w:rPr>
      <w:rFonts w:eastAsiaTheme="minorHAnsi" w:cs="Arial"/>
      <w:b w:val="0"/>
      <w:color w:val="000000"/>
      <w:sz w:val="22"/>
      <w:szCs w:val="22"/>
    </w:rPr>
  </w:style>
  <w:style w:type="character" w:styleId="FollowedHyperlink">
    <w:name w:val="FollowedHyperlink"/>
    <w:basedOn w:val="DefaultParagraphFont"/>
    <w:uiPriority w:val="99"/>
    <w:semiHidden/>
    <w:unhideWhenUsed/>
    <w:rsid w:val="008D13EC"/>
    <w:rPr>
      <w:color w:val="800080" w:themeColor="followedHyperlink"/>
      <w:u w:val="single"/>
    </w:rPr>
  </w:style>
  <w:style w:type="paragraph" w:styleId="NoSpacing">
    <w:name w:val="No Spacing"/>
    <w:uiPriority w:val="1"/>
    <w:qFormat/>
    <w:rsid w:val="008E3887"/>
    <w:rPr>
      <w:rFonts w:ascii="Calibri" w:eastAsiaTheme="minorHAnsi" w:hAnsi="Calibri"/>
      <w:sz w:val="22"/>
      <w:szCs w:val="22"/>
    </w:rPr>
  </w:style>
  <w:style w:type="character" w:customStyle="1" w:styleId="Heading1Char">
    <w:name w:val="Heading 1 Char"/>
    <w:basedOn w:val="DefaultParagraphFont"/>
    <w:link w:val="Heading1"/>
    <w:uiPriority w:val="9"/>
    <w:rsid w:val="00553663"/>
    <w:rPr>
      <w:rFonts w:asciiTheme="majorHAnsi" w:eastAsiaTheme="majorEastAsia" w:hAnsiTheme="majorHAnsi" w:cstheme="majorBidi"/>
      <w:b/>
      <w:color w:val="365F91" w:themeColor="accent1" w:themeShade="BF"/>
      <w:sz w:val="32"/>
      <w:szCs w:val="32"/>
    </w:rPr>
  </w:style>
  <w:style w:type="character" w:customStyle="1" w:styleId="Heading2Char">
    <w:name w:val="Heading 2 Char"/>
    <w:basedOn w:val="DefaultParagraphFont"/>
    <w:link w:val="Heading2"/>
    <w:uiPriority w:val="9"/>
    <w:rsid w:val="000738CA"/>
    <w:rPr>
      <w:rFonts w:ascii="Arial" w:eastAsiaTheme="majorEastAsia" w:hAnsi="Arial" w:cstheme="majorBidi"/>
      <w:b/>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443573">
      <w:bodyDiv w:val="1"/>
      <w:marLeft w:val="0"/>
      <w:marRight w:val="0"/>
      <w:marTop w:val="0"/>
      <w:marBottom w:val="0"/>
      <w:divBdr>
        <w:top w:val="none" w:sz="0" w:space="0" w:color="auto"/>
        <w:left w:val="none" w:sz="0" w:space="0" w:color="auto"/>
        <w:bottom w:val="none" w:sz="0" w:space="0" w:color="auto"/>
        <w:right w:val="none" w:sz="0" w:space="0" w:color="auto"/>
      </w:divBdr>
    </w:div>
    <w:div w:id="544367714">
      <w:bodyDiv w:val="1"/>
      <w:marLeft w:val="0"/>
      <w:marRight w:val="0"/>
      <w:marTop w:val="0"/>
      <w:marBottom w:val="0"/>
      <w:divBdr>
        <w:top w:val="none" w:sz="0" w:space="0" w:color="auto"/>
        <w:left w:val="none" w:sz="0" w:space="0" w:color="auto"/>
        <w:bottom w:val="none" w:sz="0" w:space="0" w:color="auto"/>
        <w:right w:val="none" w:sz="0" w:space="0" w:color="auto"/>
      </w:divBdr>
    </w:div>
    <w:div w:id="7370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transit.dot.gov/sites/fta.dot.gov/files/2023-09/Dear-Colleague-Letter-FTA-Highlights-Grant-Programs-that-Support-Real-time-ADA-Paratransit-Service.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fd129d2eef84da8f761b9b2e1bf82727">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1602b004cd3205b621c1c8cfa4304216"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Props1.xml><?xml version="1.0" encoding="utf-8"?>
<ds:datastoreItem xmlns:ds="http://schemas.openxmlformats.org/officeDocument/2006/customXml" ds:itemID="{A68A6C24-8FE4-4620-B471-409FDCE85E78}">
  <ds:schemaRefs>
    <ds:schemaRef ds:uri="http://schemas.openxmlformats.org/officeDocument/2006/bibliography"/>
  </ds:schemaRefs>
</ds:datastoreItem>
</file>

<file path=customXml/itemProps2.xml><?xml version="1.0" encoding="utf-8"?>
<ds:datastoreItem xmlns:ds="http://schemas.openxmlformats.org/officeDocument/2006/customXml" ds:itemID="{5A40B74C-23CE-41D3-858B-0A10A0340DB2}"/>
</file>

<file path=customXml/itemProps3.xml><?xml version="1.0" encoding="utf-8"?>
<ds:datastoreItem xmlns:ds="http://schemas.openxmlformats.org/officeDocument/2006/customXml" ds:itemID="{1D01E337-ED98-40F0-A87D-71CAB26B3217}"/>
</file>

<file path=customXml/itemProps4.xml><?xml version="1.0" encoding="utf-8"?>
<ds:datastoreItem xmlns:ds="http://schemas.openxmlformats.org/officeDocument/2006/customXml" ds:itemID="{A4B8DA7B-684E-4D5E-BA3E-E86D9D22CE72}"/>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3725</Characters>
  <Application>Microsoft Office Word</Application>
  <DocSecurity>0</DocSecurity>
  <Lines>70</Lines>
  <Paragraphs>32</Paragraphs>
  <ScaleCrop>false</ScaleCrop>
  <HeadingPairs>
    <vt:vector size="2" baseType="variant">
      <vt:variant>
        <vt:lpstr>Title</vt:lpstr>
      </vt:variant>
      <vt:variant>
        <vt:i4>1</vt:i4>
      </vt:variant>
    </vt:vector>
  </HeadingPairs>
  <TitlesOfParts>
    <vt:vector size="1" baseType="lpstr">
      <vt:lpstr/>
    </vt:vector>
  </TitlesOfParts>
  <Company>American Council of the Blind</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ACB</dc:creator>
  <cp:lastModifiedBy>Sharon Lovering</cp:lastModifiedBy>
  <cp:revision>2</cp:revision>
  <cp:lastPrinted>2018-02-22T16:31:00Z</cp:lastPrinted>
  <dcterms:created xsi:type="dcterms:W3CDTF">2026-03-26T17:24:00Z</dcterms:created>
  <dcterms:modified xsi:type="dcterms:W3CDTF">2026-03-26T17:24:00Z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ies>
</file>